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8E7" w:rsidRDefault="008C7A02" w:rsidP="00FA51FA">
      <w:pPr>
        <w:jc w:val="center"/>
        <w:rPr>
          <w:rFonts w:ascii="Arial" w:hAnsi="Arial" w:cs="Arial"/>
          <w:b/>
          <w:sz w:val="24"/>
          <w:szCs w:val="24"/>
          <w:u w:val="single"/>
        </w:rPr>
      </w:pPr>
      <w:r w:rsidRPr="00A50C6D">
        <w:rPr>
          <w:rFonts w:ascii="Arial" w:hAnsi="Arial" w:cs="Arial"/>
          <w:b/>
          <w:sz w:val="24"/>
          <w:szCs w:val="24"/>
          <w:u w:val="single"/>
        </w:rPr>
        <w:t xml:space="preserve">RBI </w:t>
      </w:r>
      <w:bookmarkStart w:id="0" w:name="_GoBack"/>
      <w:bookmarkEnd w:id="0"/>
      <w:r w:rsidRPr="00A50C6D">
        <w:rPr>
          <w:rFonts w:ascii="Arial" w:hAnsi="Arial" w:cs="Arial"/>
          <w:b/>
          <w:sz w:val="24"/>
          <w:szCs w:val="24"/>
          <w:u w:val="single"/>
        </w:rPr>
        <w:t>Circular</w:t>
      </w:r>
      <w:r w:rsidR="00A50C6D" w:rsidRPr="00A50C6D">
        <w:rPr>
          <w:rFonts w:ascii="Arial" w:hAnsi="Arial" w:cs="Arial"/>
          <w:b/>
          <w:sz w:val="24"/>
          <w:szCs w:val="24"/>
          <w:u w:val="single"/>
        </w:rPr>
        <w:t xml:space="preserve"> </w:t>
      </w:r>
      <w:r w:rsidRPr="00A50C6D">
        <w:rPr>
          <w:rFonts w:ascii="Arial" w:hAnsi="Arial" w:cs="Arial"/>
          <w:b/>
          <w:sz w:val="24"/>
          <w:szCs w:val="24"/>
          <w:u w:val="single"/>
        </w:rPr>
        <w:t>Consolidation</w:t>
      </w:r>
      <w:r w:rsidR="00FA51FA">
        <w:rPr>
          <w:rFonts w:ascii="Arial" w:hAnsi="Arial" w:cs="Arial"/>
          <w:b/>
          <w:sz w:val="24"/>
          <w:szCs w:val="24"/>
          <w:u w:val="single"/>
        </w:rPr>
        <w:t xml:space="preserve"> - </w:t>
      </w:r>
      <w:r w:rsidR="00FA51FA" w:rsidRPr="00A50C6D">
        <w:rPr>
          <w:rFonts w:ascii="Arial" w:hAnsi="Arial" w:cs="Arial"/>
          <w:b/>
          <w:sz w:val="24"/>
          <w:szCs w:val="24"/>
          <w:u w:val="single"/>
        </w:rPr>
        <w:t>Jan-Jun’22</w:t>
      </w:r>
    </w:p>
    <w:p w:rsidR="00BA4199" w:rsidRPr="00A50C6D" w:rsidRDefault="00BA4199" w:rsidP="00BA4199">
      <w:pPr>
        <w:rPr>
          <w:rFonts w:ascii="Arial" w:hAnsi="Arial" w:cs="Arial"/>
          <w:b/>
          <w:sz w:val="24"/>
          <w:szCs w:val="24"/>
          <w:u w:val="single"/>
        </w:rPr>
      </w:pPr>
    </w:p>
    <w:tbl>
      <w:tblPr>
        <w:tblW w:w="8931" w:type="dxa"/>
        <w:tblInd w:w="-5" w:type="dxa"/>
        <w:tblLook w:val="04A0" w:firstRow="1" w:lastRow="0" w:firstColumn="1" w:lastColumn="0" w:noHBand="0" w:noVBand="1"/>
      </w:tblPr>
      <w:tblGrid>
        <w:gridCol w:w="657"/>
        <w:gridCol w:w="8274"/>
      </w:tblGrid>
      <w:tr w:rsidR="000E2E54" w:rsidRPr="000E2E54" w:rsidTr="000E2E54">
        <w:trPr>
          <w:trHeight w:val="570"/>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jc w:val="center"/>
              <w:rPr>
                <w:rFonts w:ascii="Calibri" w:eastAsia="Times New Roman" w:hAnsi="Calibri" w:cs="Calibri"/>
                <w:b/>
                <w:bCs/>
                <w:sz w:val="20"/>
                <w:szCs w:val="20"/>
                <w:lang w:eastAsia="en-IN"/>
              </w:rPr>
            </w:pPr>
            <w:proofErr w:type="spellStart"/>
            <w:r w:rsidRPr="000E2E54">
              <w:rPr>
                <w:rFonts w:ascii="Calibri" w:eastAsia="Times New Roman" w:hAnsi="Calibri" w:cs="Calibri"/>
                <w:b/>
                <w:bCs/>
                <w:sz w:val="20"/>
                <w:szCs w:val="20"/>
                <w:lang w:eastAsia="en-IN"/>
              </w:rPr>
              <w:t>S.No</w:t>
            </w:r>
            <w:proofErr w:type="spellEnd"/>
            <w:r w:rsidRPr="000E2E54">
              <w:rPr>
                <w:rFonts w:ascii="Calibri" w:eastAsia="Times New Roman" w:hAnsi="Calibri" w:cs="Calibri"/>
                <w:b/>
                <w:bCs/>
                <w:sz w:val="20"/>
                <w:szCs w:val="20"/>
                <w:lang w:eastAsia="en-IN"/>
              </w:rPr>
              <w:t>.</w:t>
            </w:r>
          </w:p>
        </w:tc>
        <w:tc>
          <w:tcPr>
            <w:tcW w:w="8274" w:type="dxa"/>
            <w:tcBorders>
              <w:top w:val="single" w:sz="4" w:space="0" w:color="auto"/>
              <w:left w:val="nil"/>
              <w:bottom w:val="single" w:sz="4" w:space="0" w:color="auto"/>
              <w:right w:val="single" w:sz="4" w:space="0" w:color="auto"/>
            </w:tcBorders>
            <w:shd w:val="clear" w:color="auto" w:fill="auto"/>
            <w:vAlign w:val="center"/>
            <w:hideMark/>
          </w:tcPr>
          <w:p w:rsidR="000E2E54" w:rsidRPr="000E2E54" w:rsidRDefault="000E2E54" w:rsidP="00FD1759">
            <w:pPr>
              <w:spacing w:after="0" w:line="240" w:lineRule="auto"/>
              <w:rPr>
                <w:rFonts w:ascii="Calibri" w:eastAsia="Times New Roman" w:hAnsi="Calibri" w:cs="Calibri"/>
                <w:b/>
                <w:bCs/>
                <w:sz w:val="20"/>
                <w:szCs w:val="20"/>
                <w:lang w:eastAsia="en-IN"/>
              </w:rPr>
            </w:pPr>
            <w:r w:rsidRPr="000E2E54">
              <w:rPr>
                <w:rFonts w:ascii="Calibri" w:eastAsia="Times New Roman" w:hAnsi="Calibri" w:cs="Calibri"/>
                <w:b/>
                <w:bCs/>
                <w:sz w:val="20"/>
                <w:szCs w:val="20"/>
                <w:lang w:eastAsia="en-IN"/>
              </w:rPr>
              <w:t>RBI Notifications</w:t>
            </w:r>
          </w:p>
        </w:tc>
      </w:tr>
      <w:tr w:rsidR="000E2E54" w:rsidRPr="000E2E54" w:rsidTr="000E2E54">
        <w:trPr>
          <w:trHeight w:val="36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jc w:val="center"/>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1</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Provisioning Requirement for Investment in Security Receipts (SRs)</w:t>
            </w:r>
          </w:p>
        </w:tc>
      </w:tr>
      <w:tr w:rsidR="000E2E54" w:rsidRPr="000E2E54" w:rsidTr="000E2E54">
        <w:trPr>
          <w:trHeight w:val="421"/>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jc w:val="center"/>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2</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Restriction on Storage of Actual Card Data [i.e. Card-on-File (</w:t>
            </w:r>
            <w:proofErr w:type="spellStart"/>
            <w:r w:rsidRPr="000E2E54">
              <w:rPr>
                <w:rFonts w:ascii="Calibri" w:eastAsia="Times New Roman" w:hAnsi="Calibri" w:cs="Calibri"/>
                <w:color w:val="000000"/>
                <w:sz w:val="18"/>
                <w:szCs w:val="18"/>
                <w:lang w:eastAsia="en-IN"/>
              </w:rPr>
              <w:t>CoF</w:t>
            </w:r>
            <w:proofErr w:type="spellEnd"/>
            <w:r w:rsidRPr="000E2E54">
              <w:rPr>
                <w:rFonts w:ascii="Calibri" w:eastAsia="Times New Roman" w:hAnsi="Calibri" w:cs="Calibri"/>
                <w:color w:val="000000"/>
                <w:sz w:val="18"/>
                <w:szCs w:val="18"/>
                <w:lang w:eastAsia="en-IN"/>
              </w:rPr>
              <w:t>)]</w:t>
            </w:r>
          </w:p>
        </w:tc>
      </w:tr>
      <w:tr w:rsidR="000E2E54" w:rsidRPr="000E2E54" w:rsidTr="000E2E54">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jc w:val="center"/>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3</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 xml:space="preserve">Master Circular - Housing Finance for UCBs </w:t>
            </w:r>
          </w:p>
        </w:tc>
      </w:tr>
      <w:tr w:rsidR="000E2E54" w:rsidRPr="000E2E54" w:rsidTr="000E2E54">
        <w:trPr>
          <w:trHeight w:val="375"/>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jc w:val="center"/>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4</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Extension of timeline for implementation of certain provisions of Master Direction – Credit Card and Debit Card – Issuance and Conduct Directions, 2022</w:t>
            </w:r>
          </w:p>
        </w:tc>
      </w:tr>
      <w:tr w:rsidR="000E2E54" w:rsidRPr="000E2E54" w:rsidTr="000E2E54">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jc w:val="center"/>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5</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Processing of e-mandates for recurring transactions</w:t>
            </w:r>
          </w:p>
        </w:tc>
      </w:tr>
      <w:tr w:rsidR="000E2E54" w:rsidRPr="000E2E54" w:rsidTr="000E2E54">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6</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Individual Housing loans – Enhancement in limits</w:t>
            </w:r>
          </w:p>
        </w:tc>
      </w:tr>
      <w:tr w:rsidR="000E2E54" w:rsidRPr="000E2E54" w:rsidTr="000E2E54">
        <w:trPr>
          <w:trHeight w:val="375"/>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7</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Enhancement in Individual Housing Loan limits and credit to Commercial Real Estate - Residential Housing (CRE-RH)</w:t>
            </w:r>
          </w:p>
        </w:tc>
      </w:tr>
      <w:tr w:rsidR="000E2E54" w:rsidRPr="000E2E54" w:rsidTr="000E2E54">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8</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Section 23 of the Banking Regulation Act, 1949 – Doorstep Banking</w:t>
            </w:r>
          </w:p>
        </w:tc>
      </w:tr>
      <w:tr w:rsidR="000E2E54" w:rsidRPr="000E2E54" w:rsidTr="000E2E54">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9</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Branches of Indian Banks operating in GIFT-IFSC – acting as Professional Clearing Member (PCM) of India International Bullion Exchange IFSC Limited (IIBX)</w:t>
            </w:r>
          </w:p>
        </w:tc>
      </w:tr>
      <w:tr w:rsidR="000E2E54" w:rsidRPr="000E2E54" w:rsidTr="000E2E54">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10</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Provisioning for Standard assets by Non-Banking Financial Company – Upper Layer</w:t>
            </w:r>
          </w:p>
        </w:tc>
      </w:tr>
      <w:tr w:rsidR="000E2E54" w:rsidRPr="000E2E54" w:rsidTr="000E2E54">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11</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Direction – Reserve Bank of India (Variation Margin) Directions, 2022</w:t>
            </w:r>
          </w:p>
        </w:tc>
      </w:tr>
      <w:tr w:rsidR="000E2E54" w:rsidRPr="000E2E54" w:rsidTr="000E2E54">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12</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Interest Equalization Scheme (IES) on Pre and Post Shipment Rupee Export Credit – Extension</w:t>
            </w:r>
          </w:p>
        </w:tc>
      </w:tr>
      <w:tr w:rsidR="000E2E54" w:rsidRPr="000E2E54" w:rsidTr="000E2E54">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13</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 xml:space="preserve">Bharat Bill Payment </w:t>
            </w:r>
            <w:r w:rsidR="00531DEE" w:rsidRPr="000E2E54">
              <w:rPr>
                <w:rFonts w:ascii="Calibri" w:eastAsia="Times New Roman" w:hAnsi="Calibri" w:cs="Calibri"/>
                <w:color w:val="000000"/>
                <w:sz w:val="18"/>
                <w:szCs w:val="18"/>
                <w:lang w:eastAsia="en-IN"/>
              </w:rPr>
              <w:t>System</w:t>
            </w:r>
            <w:r w:rsidRPr="000E2E54">
              <w:rPr>
                <w:rFonts w:ascii="Calibri" w:eastAsia="Times New Roman" w:hAnsi="Calibri" w:cs="Calibri"/>
                <w:color w:val="000000"/>
                <w:sz w:val="18"/>
                <w:szCs w:val="18"/>
                <w:lang w:eastAsia="en-IN"/>
              </w:rPr>
              <w:t xml:space="preserve"> – Amendment to guidelines</w:t>
            </w:r>
          </w:p>
        </w:tc>
      </w:tr>
      <w:tr w:rsidR="000E2E54" w:rsidRPr="000E2E54" w:rsidTr="000E2E54">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14</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 xml:space="preserve">Guidelines on import of gold </w:t>
            </w:r>
            <w:r w:rsidR="00531DEE" w:rsidRPr="000E2E54">
              <w:rPr>
                <w:rFonts w:ascii="Calibri" w:eastAsia="Times New Roman" w:hAnsi="Calibri" w:cs="Calibri"/>
                <w:color w:val="000000"/>
                <w:sz w:val="18"/>
                <w:szCs w:val="18"/>
                <w:lang w:eastAsia="en-IN"/>
              </w:rPr>
              <w:t>by</w:t>
            </w:r>
            <w:r w:rsidRPr="000E2E54">
              <w:rPr>
                <w:rFonts w:ascii="Calibri" w:eastAsia="Times New Roman" w:hAnsi="Calibri" w:cs="Calibri"/>
                <w:color w:val="000000"/>
                <w:sz w:val="18"/>
                <w:szCs w:val="18"/>
                <w:lang w:eastAsia="en-IN"/>
              </w:rPr>
              <w:t xml:space="preserve"> Qualified Jewellers as notified by – The International Financial Services </w:t>
            </w:r>
            <w:proofErr w:type="spellStart"/>
            <w:r w:rsidRPr="000E2E54">
              <w:rPr>
                <w:rFonts w:ascii="Calibri" w:eastAsia="Times New Roman" w:hAnsi="Calibri" w:cs="Calibri"/>
                <w:color w:val="000000"/>
                <w:sz w:val="18"/>
                <w:szCs w:val="18"/>
                <w:lang w:eastAsia="en-IN"/>
              </w:rPr>
              <w:t>Centers</w:t>
            </w:r>
            <w:proofErr w:type="spellEnd"/>
            <w:r w:rsidRPr="000E2E54">
              <w:rPr>
                <w:rFonts w:ascii="Calibri" w:eastAsia="Times New Roman" w:hAnsi="Calibri" w:cs="Calibri"/>
                <w:color w:val="000000"/>
                <w:sz w:val="18"/>
                <w:szCs w:val="18"/>
                <w:lang w:eastAsia="en-IN"/>
              </w:rPr>
              <w:t xml:space="preserve"> Authority (IFSCA)</w:t>
            </w:r>
          </w:p>
        </w:tc>
      </w:tr>
      <w:tr w:rsidR="000E2E54" w:rsidRPr="000E2E54" w:rsidTr="000E2E54">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15</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Housing Finance – Loans for repairs/additions/alterations - Enhancement of limits</w:t>
            </w:r>
          </w:p>
        </w:tc>
      </w:tr>
      <w:tr w:rsidR="000E2E54" w:rsidRPr="000E2E54" w:rsidTr="000E2E54">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16</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Reserve Bank of India (Financial Statements - Presentation and Disclosures) Directions, 2021 - Reporting of reverse repos with Reserve Bank on the bank’s balance sheet</w:t>
            </w:r>
          </w:p>
        </w:tc>
      </w:tr>
      <w:tr w:rsidR="000E2E54" w:rsidRPr="000E2E54" w:rsidTr="000E2E54">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17</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Interoperable Card-less Cash Withdrawal (ICCW) at ATMs</w:t>
            </w:r>
          </w:p>
        </w:tc>
      </w:tr>
      <w:tr w:rsidR="000E2E54" w:rsidRPr="000E2E54" w:rsidTr="000E2E54">
        <w:trPr>
          <w:trHeight w:val="48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18</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New Definition of Micro, Small and Medium Enterprises - Clarification</w:t>
            </w:r>
          </w:p>
        </w:tc>
      </w:tr>
      <w:tr w:rsidR="000E2E54" w:rsidRPr="000E2E54" w:rsidTr="000E2E54">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19</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proofErr w:type="spellStart"/>
            <w:r w:rsidRPr="000E2E54">
              <w:rPr>
                <w:rFonts w:ascii="Calibri" w:eastAsia="Times New Roman" w:hAnsi="Calibri" w:cs="Calibri"/>
                <w:color w:val="000000"/>
                <w:sz w:val="18"/>
                <w:szCs w:val="18"/>
                <w:lang w:eastAsia="en-IN"/>
              </w:rPr>
              <w:t>Kisan</w:t>
            </w:r>
            <w:proofErr w:type="spellEnd"/>
            <w:r w:rsidRPr="000E2E54">
              <w:rPr>
                <w:rFonts w:ascii="Calibri" w:eastAsia="Times New Roman" w:hAnsi="Calibri" w:cs="Calibri"/>
                <w:color w:val="000000"/>
                <w:sz w:val="18"/>
                <w:szCs w:val="18"/>
                <w:lang w:eastAsia="en-IN"/>
              </w:rPr>
              <w:t xml:space="preserve"> Credit Card Scheme - Eligibility criteria for farmers engaged in fisheries/ aquaculture</w:t>
            </w:r>
          </w:p>
        </w:tc>
      </w:tr>
      <w:tr w:rsidR="000E2E54" w:rsidRPr="000E2E54" w:rsidTr="000E2E54">
        <w:trPr>
          <w:trHeight w:val="485"/>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20</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Lending by Commercial Banks to NBFCs and Small Finance Banks (SFBs) to NBFC-MFIs, for the purpose of on-lending to priority sectors</w:t>
            </w:r>
          </w:p>
        </w:tc>
      </w:tr>
      <w:tr w:rsidR="000E2E54" w:rsidRPr="000E2E54" w:rsidTr="000E2E54">
        <w:trPr>
          <w:trHeight w:val="48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21</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Review of Minimum Investment Grade Credit Ratings for Deposits of NBFCs</w:t>
            </w:r>
          </w:p>
        </w:tc>
      </w:tr>
      <w:tr w:rsidR="000E2E54" w:rsidRPr="000E2E54" w:rsidTr="000E2E54">
        <w:trPr>
          <w:trHeight w:val="356"/>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22</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Guidelines on Compensation of Key Managerial Personnel (KMP) and Senior Management in NBFCs</w:t>
            </w:r>
          </w:p>
        </w:tc>
      </w:tr>
      <w:tr w:rsidR="000E2E54" w:rsidRPr="000E2E54" w:rsidTr="000E2E54">
        <w:trPr>
          <w:trHeight w:val="547"/>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23</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 xml:space="preserve">Modified Interest Subvention Scheme for Short Term Loans for Agriculture and Allied Activities availed through </w:t>
            </w:r>
            <w:proofErr w:type="spellStart"/>
            <w:r w:rsidRPr="000E2E54">
              <w:rPr>
                <w:rFonts w:ascii="Calibri" w:eastAsia="Times New Roman" w:hAnsi="Calibri" w:cs="Calibri"/>
                <w:color w:val="000000"/>
                <w:sz w:val="18"/>
                <w:szCs w:val="18"/>
                <w:lang w:eastAsia="en-IN"/>
              </w:rPr>
              <w:t>Kisan</w:t>
            </w:r>
            <w:proofErr w:type="spellEnd"/>
            <w:r w:rsidRPr="000E2E54">
              <w:rPr>
                <w:rFonts w:ascii="Calibri" w:eastAsia="Times New Roman" w:hAnsi="Calibri" w:cs="Calibri"/>
                <w:color w:val="000000"/>
                <w:sz w:val="18"/>
                <w:szCs w:val="18"/>
                <w:lang w:eastAsia="en-IN"/>
              </w:rPr>
              <w:t xml:space="preserve"> Credit Card (KCC) during the financial year 2021-22</w:t>
            </w:r>
          </w:p>
        </w:tc>
      </w:tr>
      <w:tr w:rsidR="000E2E54" w:rsidRPr="000E2E54" w:rsidTr="000E2E54">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25</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Legal Entity Identifier (LEI) for Borrowers</w:t>
            </w:r>
          </w:p>
        </w:tc>
      </w:tr>
      <w:tr w:rsidR="000E2E54" w:rsidRPr="000E2E54" w:rsidTr="000E2E54">
        <w:trPr>
          <w:trHeight w:val="402"/>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26</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Direction – Credit Card and Debit Card – Issuance and Conduct Directions, 2022</w:t>
            </w:r>
          </w:p>
        </w:tc>
      </w:tr>
      <w:tr w:rsidR="000E2E54" w:rsidRPr="000E2E54" w:rsidTr="000E2E54">
        <w:trPr>
          <w:trHeight w:val="30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27</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 xml:space="preserve">Creation of </w:t>
            </w:r>
            <w:r w:rsidR="00531DEE" w:rsidRPr="000E2E54">
              <w:rPr>
                <w:rFonts w:ascii="Calibri" w:eastAsia="Times New Roman" w:hAnsi="Calibri" w:cs="Calibri"/>
                <w:color w:val="000000"/>
                <w:sz w:val="18"/>
                <w:szCs w:val="18"/>
                <w:lang w:eastAsia="en-IN"/>
              </w:rPr>
              <w:t>Honorary</w:t>
            </w:r>
            <w:r w:rsidRPr="000E2E54">
              <w:rPr>
                <w:rFonts w:ascii="Calibri" w:eastAsia="Times New Roman" w:hAnsi="Calibri" w:cs="Calibri"/>
                <w:color w:val="000000"/>
                <w:sz w:val="18"/>
                <w:szCs w:val="18"/>
                <w:lang w:eastAsia="en-IN"/>
              </w:rPr>
              <w:t xml:space="preserve"> Designations at Board level in Urban Co-operative Banks</w:t>
            </w:r>
          </w:p>
        </w:tc>
      </w:tr>
      <w:tr w:rsidR="000E2E54" w:rsidRPr="000E2E54" w:rsidTr="000E2E54">
        <w:trPr>
          <w:trHeight w:val="371"/>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28</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Large Exposures Framework for Non-Banking Financial Company - Upper Layer (NBFC-UL)</w:t>
            </w:r>
          </w:p>
        </w:tc>
      </w:tr>
      <w:tr w:rsidR="000E2E54" w:rsidRPr="000E2E54" w:rsidTr="000E2E54">
        <w:trPr>
          <w:trHeight w:val="432"/>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29</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Issue and regulation of share capital and securities - State Co-operative Banks and District Central Co-operative Banks</w:t>
            </w:r>
          </w:p>
        </w:tc>
      </w:tr>
      <w:tr w:rsidR="000E2E54" w:rsidRPr="000E2E54" w:rsidTr="000E2E54">
        <w:trPr>
          <w:trHeight w:val="538"/>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30</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Scale Based Regulation (SBR) for NBFCs: Capital requirements for Non-Banking Finance Companies – Upper Layer (NBFC-UL)</w:t>
            </w:r>
          </w:p>
        </w:tc>
      </w:tr>
      <w:tr w:rsidR="000E2E54" w:rsidRPr="000E2E54" w:rsidTr="000E2E54">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31</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Limits for investment in debt and sale of Credit Default Swaps by Foreign Portfolio Investors (FPIs)</w:t>
            </w:r>
          </w:p>
        </w:tc>
      </w:tr>
      <w:tr w:rsidR="000E2E54" w:rsidRPr="000E2E54" w:rsidTr="000E2E54">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32</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Loans and Advances – Regulatory Restrictions – NBFCs</w:t>
            </w:r>
          </w:p>
        </w:tc>
      </w:tr>
      <w:tr w:rsidR="000E2E54" w:rsidRPr="000E2E54" w:rsidTr="000E2E54">
        <w:trPr>
          <w:trHeight w:val="274"/>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33</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Consolidated Circular on Opening of Current Accounts and CC/OD Accounts by Banks</w:t>
            </w:r>
          </w:p>
        </w:tc>
      </w:tr>
      <w:tr w:rsidR="000E2E54" w:rsidRPr="000E2E54" w:rsidTr="000E2E54">
        <w:trPr>
          <w:trHeight w:val="292"/>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lastRenderedPageBreak/>
              <w:t>34</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Disclosures in Financial Statements- Notes to Accounts of NBFCs</w:t>
            </w:r>
          </w:p>
        </w:tc>
      </w:tr>
      <w:tr w:rsidR="000E2E54" w:rsidRPr="000E2E54" w:rsidTr="000E2E54">
        <w:trPr>
          <w:trHeight w:val="254"/>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35</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Basel III Framework on Liquidity Standards – Liquidity Coverage Ratio (LCR)</w:t>
            </w:r>
          </w:p>
        </w:tc>
      </w:tr>
      <w:tr w:rsidR="000E2E54" w:rsidRPr="000E2E54" w:rsidTr="000E2E54">
        <w:trPr>
          <w:trHeight w:val="272"/>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36</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Compliance Function and Role of Chief Compliance Officer (CCO) – NBFCs</w:t>
            </w:r>
          </w:p>
        </w:tc>
      </w:tr>
      <w:tr w:rsidR="000E2E54" w:rsidRPr="000E2E54" w:rsidTr="000E2E54">
        <w:trPr>
          <w:trHeight w:val="432"/>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37</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Section 24 and Section 56 of the Banking Regulation Act, 1949 – Maintenance of Statutory Liquidity Ratio (SLR)</w:t>
            </w:r>
          </w:p>
        </w:tc>
      </w:tr>
      <w:tr w:rsidR="000E2E54" w:rsidRPr="000E2E54" w:rsidTr="000E2E54">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38</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Management of Advances – UCBs</w:t>
            </w:r>
          </w:p>
        </w:tc>
      </w:tr>
      <w:tr w:rsidR="000E2E54" w:rsidRPr="000E2E54" w:rsidTr="000E2E54">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39</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Review of SLR holdings in HTM category</w:t>
            </w:r>
          </w:p>
        </w:tc>
      </w:tr>
      <w:tr w:rsidR="000E2E54" w:rsidRPr="000E2E54" w:rsidTr="000E2E54">
        <w:trPr>
          <w:trHeight w:val="34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40</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Individual Housing Loans – Rationalisation of Risk Weights</w:t>
            </w:r>
          </w:p>
        </w:tc>
      </w:tr>
      <w:tr w:rsidR="000E2E54" w:rsidRPr="000E2E54" w:rsidTr="000E2E54">
        <w:trPr>
          <w:trHeight w:val="28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41</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Establishment of Digital Banking Units (DBUs)</w:t>
            </w:r>
          </w:p>
        </w:tc>
      </w:tr>
      <w:tr w:rsidR="000E2E54" w:rsidRPr="000E2E54" w:rsidTr="000E2E54">
        <w:trPr>
          <w:trHeight w:val="271"/>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42</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Income Recognition, Asset Classification, Provisioning and Other Related Matters – UCBs</w:t>
            </w:r>
          </w:p>
        </w:tc>
      </w:tr>
      <w:tr w:rsidR="000E2E54" w:rsidRPr="000E2E54" w:rsidTr="000E2E54">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43</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Housing Finance</w:t>
            </w:r>
          </w:p>
        </w:tc>
      </w:tr>
      <w:tr w:rsidR="000E2E54" w:rsidRPr="000E2E54" w:rsidTr="000E2E54">
        <w:trPr>
          <w:trHeight w:val="379"/>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44</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Prudential norms on Income Recognition, Asset Classification and Provisioning pertaining to Advances</w:t>
            </w:r>
          </w:p>
        </w:tc>
      </w:tr>
      <w:tr w:rsidR="000E2E54" w:rsidRPr="000E2E54" w:rsidTr="000E2E54">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45</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Bank Finance to Non-Banking Financial Companies (NBFCs)</w:t>
            </w:r>
          </w:p>
        </w:tc>
      </w:tr>
      <w:tr w:rsidR="000E2E54" w:rsidRPr="000E2E54" w:rsidTr="000E2E54">
        <w:trPr>
          <w:trHeight w:val="323"/>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46</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Basel III Capital Regulations</w:t>
            </w:r>
          </w:p>
        </w:tc>
      </w:tr>
      <w:tr w:rsidR="000E2E54" w:rsidRPr="000E2E54" w:rsidTr="000E2E54">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47</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Lead Bank Scheme</w:t>
            </w:r>
          </w:p>
        </w:tc>
      </w:tr>
      <w:tr w:rsidR="000E2E54" w:rsidRPr="000E2E54" w:rsidTr="000E2E54">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48</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Guarantees and Co-acceptances</w:t>
            </w:r>
          </w:p>
        </w:tc>
      </w:tr>
      <w:tr w:rsidR="000E2E54" w:rsidRPr="000E2E54" w:rsidTr="000E2E54">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49</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Disbursement of Government Pension by Agency Banks</w:t>
            </w:r>
          </w:p>
        </w:tc>
      </w:tr>
      <w:tr w:rsidR="000E2E54" w:rsidRPr="000E2E54" w:rsidTr="000E2E54">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50</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on Conduct of Government Business by Agency Banks - Payment of Agency Commission</w:t>
            </w:r>
          </w:p>
        </w:tc>
      </w:tr>
      <w:tr w:rsidR="000E2E54" w:rsidRPr="000E2E54" w:rsidTr="000E2E54">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51</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Detection and Impounding of Counterfeit Notes</w:t>
            </w:r>
          </w:p>
        </w:tc>
      </w:tr>
      <w:tr w:rsidR="000E2E54" w:rsidRPr="000E2E54" w:rsidTr="000E2E54">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52</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Guarantees, Co-Acceptances &amp; Letters of Credit – UCBs</w:t>
            </w:r>
          </w:p>
        </w:tc>
      </w:tr>
      <w:tr w:rsidR="000E2E54" w:rsidRPr="000E2E54" w:rsidTr="000E2E54">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53</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751B52">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on Investments b</w:t>
            </w:r>
            <w:r w:rsidR="00751B52">
              <w:rPr>
                <w:rFonts w:ascii="Calibri" w:eastAsia="Times New Roman" w:hAnsi="Calibri" w:cs="Calibri"/>
                <w:color w:val="000000"/>
                <w:sz w:val="18"/>
                <w:szCs w:val="18"/>
                <w:lang w:eastAsia="en-IN"/>
              </w:rPr>
              <w:t>y</w:t>
            </w:r>
            <w:r w:rsidRPr="000E2E54">
              <w:rPr>
                <w:rFonts w:ascii="Calibri" w:eastAsia="Times New Roman" w:hAnsi="Calibri" w:cs="Calibri"/>
                <w:color w:val="000000"/>
                <w:sz w:val="18"/>
                <w:szCs w:val="18"/>
                <w:lang w:eastAsia="en-IN"/>
              </w:rPr>
              <w:t xml:space="preserve"> Primary (Urban) Co-operative Banks</w:t>
            </w:r>
          </w:p>
        </w:tc>
      </w:tr>
      <w:tr w:rsidR="000E2E54" w:rsidRPr="000E2E54" w:rsidTr="000E2E54">
        <w:trPr>
          <w:trHeight w:val="34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54</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Direction on Penal Provisions in deficiencies in reporting of transactions/ balances at Currency Chests</w:t>
            </w:r>
          </w:p>
        </w:tc>
      </w:tr>
      <w:tr w:rsidR="000E2E54" w:rsidRPr="000E2E54" w:rsidTr="000E2E54">
        <w:trPr>
          <w:trHeight w:val="55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55</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Direction on Framework of Incentives for Currency Distribution &amp; Exchange Scheme for bank branches including currency chests based on performance in rendering customer service to the members of public</w:t>
            </w:r>
          </w:p>
        </w:tc>
      </w:tr>
      <w:tr w:rsidR="000E2E54" w:rsidRPr="000E2E54" w:rsidTr="000E2E54">
        <w:trPr>
          <w:trHeight w:val="43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56</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Scheme of Penalties for bank branches including Currency Chests for deficiency in rendering customer service to the members of public</w:t>
            </w:r>
          </w:p>
        </w:tc>
      </w:tr>
      <w:tr w:rsidR="000E2E54" w:rsidRPr="000E2E54" w:rsidTr="000E2E54">
        <w:trPr>
          <w:trHeight w:val="395"/>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57</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Asset Reconstruction Companies</w:t>
            </w:r>
          </w:p>
        </w:tc>
      </w:tr>
      <w:tr w:rsidR="000E2E54" w:rsidRPr="000E2E54" w:rsidTr="000E2E54">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58</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on SHG-Bank Linkage Programme</w:t>
            </w:r>
          </w:p>
        </w:tc>
      </w:tr>
      <w:tr w:rsidR="000E2E54" w:rsidRPr="000E2E54" w:rsidTr="000E2E54">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59</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Facility for Exchange of Notes and Coins</w:t>
            </w:r>
          </w:p>
        </w:tc>
      </w:tr>
      <w:tr w:rsidR="000E2E54" w:rsidRPr="000E2E54" w:rsidTr="000E2E54">
        <w:trPr>
          <w:trHeight w:val="48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60</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Direction - Classification, Valuation and Operation of Investment Portfolio of Commercial Banks (Directions), 2021 – Amendment</w:t>
            </w:r>
          </w:p>
        </w:tc>
      </w:tr>
      <w:tr w:rsidR="000E2E54" w:rsidRPr="000E2E54" w:rsidTr="000E2E54">
        <w:trPr>
          <w:trHeight w:val="303"/>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61</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Cassette - Swaps in ATMs</w:t>
            </w:r>
          </w:p>
        </w:tc>
      </w:tr>
      <w:tr w:rsidR="000E2E54" w:rsidRPr="000E2E54" w:rsidTr="000E2E54">
        <w:trPr>
          <w:trHeight w:val="265"/>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62</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Bilateral Netting of Qualified Financial Contracts - Amendments to Prudential Guidelines</w:t>
            </w:r>
          </w:p>
        </w:tc>
      </w:tr>
      <w:tr w:rsidR="000E2E54" w:rsidRPr="000E2E54" w:rsidTr="000E2E54">
        <w:trPr>
          <w:trHeight w:val="283"/>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63</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 xml:space="preserve">Framework for Geo-tagging of </w:t>
            </w:r>
            <w:r w:rsidR="00531DEE" w:rsidRPr="000E2E54">
              <w:rPr>
                <w:rFonts w:ascii="Calibri" w:eastAsia="Times New Roman" w:hAnsi="Calibri" w:cs="Calibri"/>
                <w:color w:val="000000"/>
                <w:sz w:val="18"/>
                <w:szCs w:val="18"/>
                <w:lang w:eastAsia="en-IN"/>
              </w:rPr>
              <w:t>Payment</w:t>
            </w:r>
            <w:r w:rsidRPr="000E2E54">
              <w:rPr>
                <w:rFonts w:ascii="Calibri" w:eastAsia="Times New Roman" w:hAnsi="Calibri" w:cs="Calibri"/>
                <w:color w:val="000000"/>
                <w:sz w:val="18"/>
                <w:szCs w:val="18"/>
                <w:lang w:eastAsia="en-IN"/>
              </w:rPr>
              <w:t xml:space="preserve"> System Touch Points</w:t>
            </w:r>
          </w:p>
        </w:tc>
      </w:tr>
      <w:tr w:rsidR="000E2E54" w:rsidRPr="000E2E54" w:rsidTr="000E2E5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64</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Direction - Classification, Valuation and Operation of Investment Portfolio of Commercial Banks (Directions), 2021 – Amendment</w:t>
            </w:r>
          </w:p>
        </w:tc>
      </w:tr>
      <w:tr w:rsidR="000E2E54" w:rsidRPr="000E2E54" w:rsidTr="000E2E54">
        <w:trPr>
          <w:trHeight w:val="379"/>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65</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Direction – Reserve Bank of India (Regulatory Framework for Microfinance Loans) Directions, 2022</w:t>
            </w:r>
          </w:p>
        </w:tc>
      </w:tr>
      <w:tr w:rsidR="000E2E54" w:rsidRPr="000E2E54" w:rsidTr="000E2E54">
        <w:trPr>
          <w:trHeight w:val="299"/>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66</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Interest Equalization Scheme on Pre and Post Shipment Rupee Export Credit - Extension</w:t>
            </w:r>
          </w:p>
        </w:tc>
      </w:tr>
      <w:tr w:rsidR="000E2E54" w:rsidRPr="000E2E54" w:rsidTr="000E2E54">
        <w:trPr>
          <w:trHeight w:val="248"/>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67</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Issue and regulation of share capital and securities - Primary (Urban) Co-operative Banks</w:t>
            </w:r>
          </w:p>
        </w:tc>
      </w:tr>
      <w:tr w:rsidR="000E2E54" w:rsidRPr="000E2E54" w:rsidTr="000E2E54">
        <w:trPr>
          <w:trHeight w:val="283"/>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68</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Investment in Umbrella Organization (UO) by Primary (Urban) Co-operative Banks</w:t>
            </w:r>
          </w:p>
        </w:tc>
      </w:tr>
      <w:tr w:rsidR="000E2E54" w:rsidRPr="000E2E54" w:rsidTr="000E2E54">
        <w:trPr>
          <w:trHeight w:val="273"/>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69</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Implementation of ‘Core Financial Services Solution’ by Non-Banking Financial Companies (NBFCs)</w:t>
            </w:r>
          </w:p>
        </w:tc>
      </w:tr>
      <w:tr w:rsidR="000E2E54" w:rsidRPr="000E2E54" w:rsidTr="000E2E54">
        <w:trPr>
          <w:trHeight w:val="298"/>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70</w:t>
            </w:r>
          </w:p>
        </w:tc>
        <w:tc>
          <w:tcPr>
            <w:tcW w:w="8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Housing Finance</w:t>
            </w:r>
          </w:p>
        </w:tc>
      </w:tr>
      <w:tr w:rsidR="000E2E54" w:rsidRPr="000E2E54" w:rsidTr="000E2E54">
        <w:trPr>
          <w:trHeight w:val="48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71</w:t>
            </w:r>
          </w:p>
        </w:tc>
        <w:tc>
          <w:tcPr>
            <w:tcW w:w="8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New Definition of Micro, Small and Medium Enterprises – Clarification</w:t>
            </w:r>
          </w:p>
        </w:tc>
      </w:tr>
      <w:tr w:rsidR="000E2E54" w:rsidRPr="000E2E54" w:rsidTr="00BA4199">
        <w:trPr>
          <w:trHeight w:val="416"/>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72</w:t>
            </w:r>
          </w:p>
        </w:tc>
        <w:tc>
          <w:tcPr>
            <w:tcW w:w="8274" w:type="dxa"/>
            <w:tcBorders>
              <w:top w:val="single" w:sz="4" w:space="0" w:color="auto"/>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Prudential norms on Income Recognition, Asset Classification and Provisioning pertaining to Advances – Clarifications</w:t>
            </w:r>
          </w:p>
        </w:tc>
      </w:tr>
      <w:tr w:rsidR="000E2E54" w:rsidRPr="000E2E54" w:rsidTr="00BA4199">
        <w:trPr>
          <w:trHeight w:val="394"/>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73</w:t>
            </w:r>
          </w:p>
        </w:tc>
        <w:tc>
          <w:tcPr>
            <w:tcW w:w="8274" w:type="dxa"/>
            <w:tcBorders>
              <w:top w:val="single" w:sz="4" w:space="0" w:color="auto"/>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Rupee Interest Rate Derivatives (Reserve Bank) Directions – Review</w:t>
            </w:r>
          </w:p>
        </w:tc>
      </w:tr>
      <w:tr w:rsidR="000E2E54" w:rsidRPr="000E2E54" w:rsidTr="00BA4199">
        <w:trPr>
          <w:trHeight w:val="271"/>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lastRenderedPageBreak/>
              <w:t>74</w:t>
            </w:r>
          </w:p>
        </w:tc>
        <w:tc>
          <w:tcPr>
            <w:tcW w:w="8274" w:type="dxa"/>
            <w:tcBorders>
              <w:top w:val="single" w:sz="4" w:space="0" w:color="auto"/>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w:t>
            </w:r>
            <w:r w:rsidR="00531DEE" w:rsidRPr="000E2E54">
              <w:rPr>
                <w:rFonts w:ascii="Calibri" w:eastAsia="Times New Roman" w:hAnsi="Calibri" w:cs="Calibri"/>
                <w:color w:val="000000"/>
                <w:sz w:val="18"/>
                <w:szCs w:val="18"/>
                <w:lang w:eastAsia="en-IN"/>
              </w:rPr>
              <w:t>Voluntary</w:t>
            </w:r>
            <w:r w:rsidRPr="000E2E54">
              <w:rPr>
                <w:rFonts w:ascii="Calibri" w:eastAsia="Times New Roman" w:hAnsi="Calibri" w:cs="Calibri"/>
                <w:color w:val="000000"/>
                <w:sz w:val="18"/>
                <w:szCs w:val="18"/>
                <w:lang w:eastAsia="en-IN"/>
              </w:rPr>
              <w:t xml:space="preserve"> Retention Route’ (VRR) for Foreign Portfolio Investors (FPIs) investment in debt</w:t>
            </w:r>
          </w:p>
        </w:tc>
      </w:tr>
      <w:tr w:rsidR="000E2E54" w:rsidRPr="000E2E54" w:rsidTr="00BA4199">
        <w:trPr>
          <w:trHeight w:val="404"/>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75</w:t>
            </w:r>
          </w:p>
        </w:tc>
        <w:tc>
          <w:tcPr>
            <w:tcW w:w="8274" w:type="dxa"/>
            <w:tcBorders>
              <w:top w:val="single" w:sz="4" w:space="0" w:color="auto"/>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Transactions in Credit Default Swap (CDS) by Foreign Portfolio Investors – Operational Instructions</w:t>
            </w:r>
          </w:p>
        </w:tc>
      </w:tr>
      <w:tr w:rsidR="000E2E54" w:rsidRPr="000E2E54" w:rsidTr="000E2E54">
        <w:trPr>
          <w:trHeight w:val="281"/>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76</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Direction – Reserve Bank of India (Credit Derivatives) Directions, 2022</w:t>
            </w:r>
          </w:p>
        </w:tc>
      </w:tr>
      <w:tr w:rsidR="000E2E54" w:rsidRPr="000E2E54" w:rsidTr="000E2E54">
        <w:trPr>
          <w:trHeight w:val="271"/>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77</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Asset Reconstruction Companies</w:t>
            </w:r>
          </w:p>
        </w:tc>
      </w:tr>
      <w:tr w:rsidR="000E2E54" w:rsidRPr="000E2E54" w:rsidTr="000E2E54">
        <w:trPr>
          <w:trHeight w:val="289"/>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78</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Registration of Assignment of Receivables (Reserve Bank) Regulations, 2022</w:t>
            </w:r>
          </w:p>
        </w:tc>
      </w:tr>
      <w:tr w:rsidR="000E2E54" w:rsidRPr="000E2E54" w:rsidTr="000E2E54">
        <w:trPr>
          <w:trHeight w:val="407"/>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79</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Registration of Factors (Reserve Bank) Regulations, 2022</w:t>
            </w:r>
          </w:p>
        </w:tc>
      </w:tr>
      <w:tr w:rsidR="000E2E54" w:rsidRPr="000E2E54" w:rsidTr="000E2E54">
        <w:trPr>
          <w:trHeight w:val="45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80</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Basel III Framework on Liquidity Standards – Liquidity Coverage Ratio (LCR), Liquidity Risk Monitoring Tools and LCR Disclosure Standards and Net Stable Funding ratio – Small Business Customers</w:t>
            </w:r>
          </w:p>
        </w:tc>
      </w:tr>
      <w:tr w:rsidR="000E2E54" w:rsidRPr="000E2E54" w:rsidTr="000E2E54">
        <w:trPr>
          <w:trHeight w:val="48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81</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Master Circular - Bank Finance to Non-Banking Financial Companies (NBFCs)</w:t>
            </w:r>
          </w:p>
        </w:tc>
      </w:tr>
      <w:tr w:rsidR="000E2E54" w:rsidRPr="000E2E54" w:rsidTr="000E2E54">
        <w:trPr>
          <w:trHeight w:val="327"/>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82</w:t>
            </w:r>
          </w:p>
        </w:tc>
        <w:tc>
          <w:tcPr>
            <w:tcW w:w="8274" w:type="dxa"/>
            <w:tcBorders>
              <w:top w:val="nil"/>
              <w:left w:val="nil"/>
              <w:bottom w:val="single" w:sz="4" w:space="0" w:color="auto"/>
              <w:right w:val="single" w:sz="4" w:space="0" w:color="auto"/>
            </w:tcBorders>
            <w:shd w:val="clear" w:color="auto" w:fill="auto"/>
            <w:noWrap/>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Retail Direct Scheme – Market Making</w:t>
            </w:r>
          </w:p>
        </w:tc>
      </w:tr>
      <w:tr w:rsidR="000E2E54" w:rsidRPr="000E2E54" w:rsidTr="000E2E54">
        <w:trPr>
          <w:trHeight w:val="403"/>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2E54" w:rsidRPr="000E2E54" w:rsidRDefault="00BA4199" w:rsidP="000E2E54">
            <w:pPr>
              <w:spacing w:after="0" w:line="240" w:lineRule="auto"/>
              <w:jc w:val="center"/>
              <w:rPr>
                <w:rFonts w:ascii="Calibri" w:eastAsia="Times New Roman" w:hAnsi="Calibri" w:cs="Calibri"/>
                <w:color w:val="000000"/>
                <w:sz w:val="18"/>
                <w:szCs w:val="18"/>
                <w:lang w:eastAsia="en-IN"/>
              </w:rPr>
            </w:pPr>
            <w:r>
              <w:rPr>
                <w:rFonts w:ascii="Calibri" w:eastAsia="Times New Roman" w:hAnsi="Calibri" w:cs="Calibri"/>
                <w:color w:val="000000"/>
                <w:sz w:val="18"/>
                <w:szCs w:val="18"/>
                <w:lang w:eastAsia="en-IN"/>
              </w:rPr>
              <w:t>83</w:t>
            </w:r>
          </w:p>
        </w:tc>
        <w:tc>
          <w:tcPr>
            <w:tcW w:w="8274" w:type="dxa"/>
            <w:tcBorders>
              <w:top w:val="nil"/>
              <w:left w:val="nil"/>
              <w:bottom w:val="single" w:sz="4" w:space="0" w:color="auto"/>
              <w:right w:val="single" w:sz="4" w:space="0" w:color="auto"/>
            </w:tcBorders>
            <w:shd w:val="clear" w:color="auto" w:fill="auto"/>
            <w:vAlign w:val="center"/>
            <w:hideMark/>
          </w:tcPr>
          <w:p w:rsidR="000E2E54" w:rsidRPr="000E2E54" w:rsidRDefault="000E2E54" w:rsidP="000E2E54">
            <w:pPr>
              <w:spacing w:after="0" w:line="240" w:lineRule="auto"/>
              <w:rPr>
                <w:rFonts w:ascii="Calibri" w:eastAsia="Times New Roman" w:hAnsi="Calibri" w:cs="Calibri"/>
                <w:color w:val="000000"/>
                <w:sz w:val="18"/>
                <w:szCs w:val="18"/>
                <w:lang w:eastAsia="en-IN"/>
              </w:rPr>
            </w:pPr>
            <w:r w:rsidRPr="000E2E54">
              <w:rPr>
                <w:rFonts w:ascii="Calibri" w:eastAsia="Times New Roman" w:hAnsi="Calibri" w:cs="Calibri"/>
                <w:color w:val="000000"/>
                <w:sz w:val="18"/>
                <w:szCs w:val="18"/>
                <w:lang w:eastAsia="en-IN"/>
              </w:rPr>
              <w:t>Framework for Facilitating Small Value Digital Payments in Offline Mode</w:t>
            </w:r>
          </w:p>
        </w:tc>
      </w:tr>
    </w:tbl>
    <w:p w:rsidR="008C7A02" w:rsidRPr="00470480" w:rsidRDefault="008C7A02" w:rsidP="008C7A02">
      <w:pPr>
        <w:jc w:val="both"/>
        <w:rPr>
          <w:rFonts w:ascii="Arial" w:hAnsi="Arial" w:cs="Arial"/>
          <w:b/>
          <w:bCs/>
          <w:color w:val="000000"/>
          <w:sz w:val="20"/>
          <w:szCs w:val="20"/>
        </w:rPr>
      </w:pPr>
    </w:p>
    <w:p w:rsidR="00E653FA" w:rsidRDefault="00E653FA" w:rsidP="008C7A02">
      <w:pPr>
        <w:jc w:val="both"/>
        <w:rPr>
          <w:rFonts w:ascii="Arial" w:hAnsi="Arial" w:cs="Arial"/>
          <w:b/>
          <w:bCs/>
          <w:color w:val="000000"/>
          <w:sz w:val="20"/>
          <w:szCs w:val="20"/>
        </w:rPr>
      </w:pPr>
    </w:p>
    <w:p w:rsidR="00E653FA" w:rsidRDefault="00E653FA" w:rsidP="008C7A02">
      <w:pPr>
        <w:jc w:val="both"/>
        <w:rPr>
          <w:rFonts w:ascii="Arial" w:hAnsi="Arial" w:cs="Arial"/>
          <w:b/>
          <w:bCs/>
          <w:color w:val="000000"/>
          <w:sz w:val="20"/>
          <w:szCs w:val="20"/>
        </w:rPr>
      </w:pPr>
    </w:p>
    <w:p w:rsidR="00E653FA" w:rsidRDefault="00E653FA" w:rsidP="008C7A02">
      <w:pPr>
        <w:jc w:val="both"/>
        <w:rPr>
          <w:rFonts w:ascii="Arial" w:hAnsi="Arial" w:cs="Arial"/>
          <w:b/>
          <w:bCs/>
          <w:color w:val="000000"/>
          <w:sz w:val="20"/>
          <w:szCs w:val="20"/>
        </w:rPr>
      </w:pPr>
    </w:p>
    <w:p w:rsidR="00E653FA" w:rsidRDefault="00E653FA" w:rsidP="008C7A02">
      <w:pPr>
        <w:jc w:val="both"/>
        <w:rPr>
          <w:rFonts w:ascii="Arial" w:hAnsi="Arial" w:cs="Arial"/>
          <w:b/>
          <w:bCs/>
          <w:color w:val="000000"/>
          <w:sz w:val="20"/>
          <w:szCs w:val="20"/>
        </w:rPr>
      </w:pPr>
    </w:p>
    <w:p w:rsidR="00E653FA" w:rsidRDefault="00E653FA" w:rsidP="008C7A02">
      <w:pPr>
        <w:jc w:val="both"/>
        <w:rPr>
          <w:rFonts w:ascii="Arial" w:hAnsi="Arial" w:cs="Arial"/>
          <w:b/>
          <w:bCs/>
          <w:color w:val="000000"/>
          <w:sz w:val="20"/>
          <w:szCs w:val="20"/>
        </w:rPr>
      </w:pPr>
    </w:p>
    <w:p w:rsidR="008C7A02" w:rsidRPr="00470480" w:rsidRDefault="008C7A02" w:rsidP="008C7A02">
      <w:pPr>
        <w:jc w:val="both"/>
        <w:rPr>
          <w:rFonts w:ascii="Arial" w:hAnsi="Arial" w:cs="Arial"/>
          <w:b/>
          <w:bCs/>
          <w:color w:val="000000"/>
          <w:sz w:val="20"/>
          <w:szCs w:val="20"/>
        </w:rPr>
      </w:pPr>
      <w:r w:rsidRPr="00470480">
        <w:rPr>
          <w:rFonts w:ascii="Arial" w:hAnsi="Arial" w:cs="Arial"/>
          <w:b/>
          <w:bCs/>
          <w:color w:val="000000"/>
          <w:sz w:val="20"/>
          <w:szCs w:val="20"/>
        </w:rPr>
        <w:t>Provisioning Requirement for Investment in Security Receipts (SRs)</w:t>
      </w:r>
    </w:p>
    <w:p w:rsidR="008C7A02" w:rsidRPr="00470480" w:rsidRDefault="008C7A02" w:rsidP="008C7A02">
      <w:pPr>
        <w:jc w:val="both"/>
        <w:rPr>
          <w:rFonts w:ascii="Arial" w:hAnsi="Arial" w:cs="Arial"/>
          <w:sz w:val="20"/>
          <w:szCs w:val="20"/>
        </w:rPr>
      </w:pPr>
      <w:r w:rsidRPr="00470480">
        <w:rPr>
          <w:rFonts w:ascii="Arial" w:hAnsi="Arial" w:cs="Arial"/>
          <w:sz w:val="20"/>
          <w:szCs w:val="20"/>
        </w:rPr>
        <w:t>RBI/2022-23/78</w:t>
      </w:r>
      <w:r w:rsidRPr="00470480">
        <w:rPr>
          <w:rFonts w:ascii="Arial" w:hAnsi="Arial" w:cs="Arial"/>
          <w:sz w:val="20"/>
          <w:szCs w:val="20"/>
        </w:rPr>
        <w:br/>
        <w:t>DOR.STR.REC.51/21.04.048/2022-23</w:t>
      </w:r>
    </w:p>
    <w:p w:rsidR="008C7A02" w:rsidRPr="00470480" w:rsidRDefault="008C7A02" w:rsidP="008C7A02">
      <w:pPr>
        <w:jc w:val="both"/>
        <w:rPr>
          <w:rFonts w:ascii="Arial" w:hAnsi="Arial" w:cs="Arial"/>
          <w:sz w:val="20"/>
          <w:szCs w:val="20"/>
        </w:rPr>
      </w:pPr>
      <w:r w:rsidRPr="00470480">
        <w:rPr>
          <w:rFonts w:ascii="Arial" w:hAnsi="Arial" w:cs="Arial"/>
          <w:sz w:val="20"/>
          <w:szCs w:val="20"/>
        </w:rPr>
        <w:t>June 28, 2022</w:t>
      </w:r>
    </w:p>
    <w:p w:rsidR="008C7A02" w:rsidRPr="00470480" w:rsidRDefault="008C7A02" w:rsidP="00470480">
      <w:pPr>
        <w:rPr>
          <w:rFonts w:ascii="Arial" w:hAnsi="Arial" w:cs="Arial"/>
          <w:sz w:val="20"/>
          <w:szCs w:val="20"/>
        </w:rPr>
      </w:pPr>
      <w:r w:rsidRPr="00470480">
        <w:rPr>
          <w:rFonts w:ascii="Arial" w:hAnsi="Arial" w:cs="Arial"/>
          <w:sz w:val="20"/>
          <w:szCs w:val="20"/>
        </w:rPr>
        <w:t>All Primary (Urban) Co-operative Banks/State Co-operative Banks/ District Central Co-operative Banks</w:t>
      </w:r>
      <w:r w:rsidRPr="00470480">
        <w:rPr>
          <w:rFonts w:ascii="Arial" w:hAnsi="Arial" w:cs="Arial"/>
          <w:sz w:val="20"/>
          <w:szCs w:val="20"/>
        </w:rPr>
        <w:br/>
        <w:t>All Local Area Banks and Regional Rural Banks</w:t>
      </w:r>
      <w:r w:rsidRPr="00470480">
        <w:rPr>
          <w:rFonts w:ascii="Arial" w:hAnsi="Arial" w:cs="Arial"/>
          <w:sz w:val="20"/>
          <w:szCs w:val="20"/>
        </w:rPr>
        <w:br/>
        <w:t>All All-India Financial Institutions</w:t>
      </w:r>
      <w:r w:rsidRPr="00470480">
        <w:rPr>
          <w:rFonts w:ascii="Arial" w:hAnsi="Arial" w:cs="Arial"/>
          <w:sz w:val="20"/>
          <w:szCs w:val="20"/>
        </w:rPr>
        <w:br/>
        <w:t>All Non-Banking Financial Companies</w:t>
      </w:r>
    </w:p>
    <w:p w:rsidR="008C7A02" w:rsidRPr="00470480" w:rsidRDefault="008C7A02" w:rsidP="008C7A02">
      <w:pPr>
        <w:jc w:val="both"/>
        <w:rPr>
          <w:rFonts w:ascii="Arial" w:hAnsi="Arial" w:cs="Arial"/>
          <w:sz w:val="20"/>
          <w:szCs w:val="20"/>
        </w:rPr>
      </w:pPr>
      <w:r w:rsidRPr="00470480">
        <w:rPr>
          <w:rFonts w:ascii="Arial" w:hAnsi="Arial" w:cs="Arial"/>
          <w:b/>
          <w:bCs/>
          <w:sz w:val="20"/>
          <w:szCs w:val="20"/>
        </w:rPr>
        <w:t>Provisioning Requirement for Investment in Security Receipts (SRs)</w:t>
      </w:r>
    </w:p>
    <w:p w:rsidR="008C7A02" w:rsidRPr="00470480" w:rsidRDefault="008C7A02" w:rsidP="008C7A02">
      <w:pPr>
        <w:jc w:val="both"/>
        <w:rPr>
          <w:rFonts w:ascii="Arial" w:hAnsi="Arial" w:cs="Arial"/>
          <w:sz w:val="20"/>
          <w:szCs w:val="20"/>
        </w:rPr>
      </w:pPr>
      <w:r w:rsidRPr="00470480">
        <w:rPr>
          <w:rFonts w:ascii="Arial" w:hAnsi="Arial" w:cs="Arial"/>
          <w:sz w:val="20"/>
          <w:szCs w:val="20"/>
        </w:rPr>
        <w:t>Please refer to clause 77 of the </w:t>
      </w:r>
      <w:hyperlink r:id="rId5" w:tgtFrame="_blank" w:history="1">
        <w:r w:rsidRPr="00470480">
          <w:rPr>
            <w:rStyle w:val="Hyperlink"/>
            <w:rFonts w:ascii="Arial" w:hAnsi="Arial" w:cs="Arial"/>
            <w:sz w:val="20"/>
            <w:szCs w:val="20"/>
          </w:rPr>
          <w:t>Master Direction – Reserve Bank of India (Transfer of Loan Exposures) Directions, 2021</w:t>
        </w:r>
      </w:hyperlink>
      <w:r w:rsidRPr="00470480">
        <w:rPr>
          <w:rFonts w:ascii="Arial" w:hAnsi="Arial" w:cs="Arial"/>
          <w:sz w:val="20"/>
          <w:szCs w:val="20"/>
        </w:rPr>
        <w:t> (“MD-TLE”).</w:t>
      </w:r>
    </w:p>
    <w:p w:rsidR="008C7A02" w:rsidRPr="00470480" w:rsidRDefault="008C7A02" w:rsidP="008C7A02">
      <w:pPr>
        <w:jc w:val="both"/>
        <w:rPr>
          <w:rFonts w:ascii="Arial" w:hAnsi="Arial" w:cs="Arial"/>
          <w:sz w:val="20"/>
          <w:szCs w:val="20"/>
        </w:rPr>
      </w:pPr>
      <w:r w:rsidRPr="00470480">
        <w:rPr>
          <w:rFonts w:ascii="Arial" w:hAnsi="Arial" w:cs="Arial"/>
          <w:sz w:val="20"/>
          <w:szCs w:val="20"/>
        </w:rPr>
        <w:t>2. In order to provide a glide path to the entities which were kept out of the ambit of </w:t>
      </w:r>
      <w:hyperlink r:id="rId6" w:tgtFrame="_blank" w:history="1">
        <w:r w:rsidRPr="00470480">
          <w:rPr>
            <w:rStyle w:val="Hyperlink"/>
            <w:rFonts w:ascii="Arial" w:hAnsi="Arial" w:cs="Arial"/>
            <w:sz w:val="20"/>
            <w:szCs w:val="20"/>
          </w:rPr>
          <w:t>circular “Guidelines on Sale of Stressed Assets by Banks” dated September 1, 2016</w:t>
        </w:r>
      </w:hyperlink>
      <w:r w:rsidRPr="00470480">
        <w:rPr>
          <w:rFonts w:ascii="Arial" w:hAnsi="Arial" w:cs="Arial"/>
          <w:sz w:val="20"/>
          <w:szCs w:val="20"/>
        </w:rPr>
        <w:t> and ensure smooth implementation of clause 77 of the MD-TLE, it is advised as under in respect of valuation of investments in SRs outstanding on the date of issuance of MD-TLE (September 24, 2021):</w:t>
      </w:r>
    </w:p>
    <w:p w:rsidR="008C7A02" w:rsidRPr="00470480" w:rsidRDefault="008C7A02" w:rsidP="00421545">
      <w:pPr>
        <w:numPr>
          <w:ilvl w:val="0"/>
          <w:numId w:val="1"/>
        </w:numPr>
        <w:jc w:val="both"/>
        <w:rPr>
          <w:rFonts w:ascii="Arial" w:hAnsi="Arial" w:cs="Arial"/>
          <w:sz w:val="20"/>
          <w:szCs w:val="20"/>
        </w:rPr>
      </w:pPr>
      <w:r w:rsidRPr="00470480">
        <w:rPr>
          <w:rFonts w:ascii="Arial" w:hAnsi="Arial" w:cs="Arial"/>
          <w:sz w:val="20"/>
          <w:szCs w:val="20"/>
        </w:rPr>
        <w:t>The difference between the carrying value of such SRs and the valuation arrived at as on the next financial reporting date after the date of issuance of MD-TLE, in terms of clause 77 of the MD-TLE, may be provided over a five-year period starting with the financial year ending March 31, 2022 - i.e. from FY2021-22 till FY2025-26.</w:t>
      </w:r>
    </w:p>
    <w:p w:rsidR="008C7A02" w:rsidRPr="00470480" w:rsidRDefault="008C7A02" w:rsidP="00421545">
      <w:pPr>
        <w:numPr>
          <w:ilvl w:val="0"/>
          <w:numId w:val="1"/>
        </w:numPr>
        <w:jc w:val="both"/>
        <w:rPr>
          <w:rFonts w:ascii="Arial" w:hAnsi="Arial" w:cs="Arial"/>
          <w:sz w:val="20"/>
          <w:szCs w:val="20"/>
        </w:rPr>
      </w:pPr>
      <w:r w:rsidRPr="00470480">
        <w:rPr>
          <w:rFonts w:ascii="Arial" w:hAnsi="Arial" w:cs="Arial"/>
          <w:sz w:val="20"/>
          <w:szCs w:val="20"/>
        </w:rPr>
        <w:t>Subsequent valuations of investments in such SRs on an ongoing basis shall, however, be strictly in terms of the provisions of MD-TLE.</w:t>
      </w:r>
    </w:p>
    <w:p w:rsidR="008C7A02" w:rsidRPr="00470480" w:rsidRDefault="008C7A02" w:rsidP="008C7A02">
      <w:pPr>
        <w:jc w:val="both"/>
        <w:rPr>
          <w:rFonts w:ascii="Arial" w:hAnsi="Arial" w:cs="Arial"/>
          <w:sz w:val="20"/>
          <w:szCs w:val="20"/>
        </w:rPr>
      </w:pPr>
      <w:r w:rsidRPr="00470480">
        <w:rPr>
          <w:rFonts w:ascii="Arial" w:hAnsi="Arial" w:cs="Arial"/>
          <w:sz w:val="20"/>
          <w:szCs w:val="20"/>
        </w:rPr>
        <w:t>3. All lending institutions shall put in place a board approved plan to ensure that the provisioning made in each of the financial years in compliance of clause 2(a) above is not less than one fifth of the required provisioning on this count.</w:t>
      </w:r>
    </w:p>
    <w:p w:rsidR="008C7A02" w:rsidRPr="00470480" w:rsidRDefault="008C7A02" w:rsidP="008C7A02">
      <w:pPr>
        <w:jc w:val="both"/>
        <w:rPr>
          <w:rFonts w:ascii="Arial" w:hAnsi="Arial" w:cs="Arial"/>
          <w:sz w:val="20"/>
          <w:szCs w:val="20"/>
        </w:rPr>
      </w:pPr>
      <w:r w:rsidRPr="00470480">
        <w:rPr>
          <w:rFonts w:ascii="Arial" w:hAnsi="Arial" w:cs="Arial"/>
          <w:sz w:val="20"/>
          <w:szCs w:val="20"/>
        </w:rPr>
        <w:lastRenderedPageBreak/>
        <w:t>4. Valuation of investments in SRs made after the issuance of MD-TLE shall be strictly in terms of the provisions thereunder.</w:t>
      </w:r>
    </w:p>
    <w:p w:rsidR="008C7A02" w:rsidRPr="00470480" w:rsidRDefault="008C7A02" w:rsidP="008C7A02">
      <w:pPr>
        <w:jc w:val="both"/>
        <w:rPr>
          <w:rFonts w:ascii="Arial" w:hAnsi="Arial" w:cs="Arial"/>
          <w:sz w:val="20"/>
          <w:szCs w:val="20"/>
        </w:rPr>
      </w:pPr>
      <w:r w:rsidRPr="00470480">
        <w:rPr>
          <w:rFonts w:ascii="Arial" w:hAnsi="Arial" w:cs="Arial"/>
          <w:sz w:val="20"/>
          <w:szCs w:val="20"/>
        </w:rPr>
        <w:t>5. All other provisions of the MD-TLE shall continue to be applicable, as hitherto.</w:t>
      </w:r>
    </w:p>
    <w:p w:rsidR="008C7A02" w:rsidRPr="00470480" w:rsidRDefault="008C7A02" w:rsidP="008C7A02">
      <w:pPr>
        <w:jc w:val="both"/>
        <w:rPr>
          <w:rFonts w:ascii="Arial" w:hAnsi="Arial" w:cs="Arial"/>
          <w:sz w:val="20"/>
          <w:szCs w:val="20"/>
        </w:rPr>
      </w:pPr>
      <w:r w:rsidRPr="00470480">
        <w:rPr>
          <w:rFonts w:ascii="Arial" w:hAnsi="Arial" w:cs="Arial"/>
          <w:sz w:val="20"/>
          <w:szCs w:val="20"/>
        </w:rPr>
        <w:t>Yours faithfully,</w:t>
      </w:r>
    </w:p>
    <w:p w:rsidR="008C7A02" w:rsidRPr="00470480" w:rsidRDefault="008C7A02" w:rsidP="008C7A02">
      <w:pPr>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r w:rsidRPr="00470480">
        <w:rPr>
          <w:rFonts w:ascii="Arial" w:hAnsi="Arial" w:cs="Arial"/>
          <w:sz w:val="20"/>
          <w:szCs w:val="20"/>
        </w:rPr>
        <w:br/>
        <w:t>Chief General Manager</w:t>
      </w:r>
    </w:p>
    <w:p w:rsidR="008C7A02" w:rsidRPr="00470480" w:rsidRDefault="008C7A02" w:rsidP="008C7A02">
      <w:pPr>
        <w:jc w:val="both"/>
        <w:rPr>
          <w:rFonts w:ascii="Arial" w:hAnsi="Arial" w:cs="Arial"/>
          <w:sz w:val="20"/>
          <w:szCs w:val="20"/>
        </w:rPr>
      </w:pPr>
    </w:p>
    <w:p w:rsidR="008C7A02" w:rsidRPr="00470480" w:rsidRDefault="000D13CB" w:rsidP="008C7A02">
      <w:pPr>
        <w:rPr>
          <w:rFonts w:ascii="Arial" w:hAnsi="Arial" w:cs="Arial"/>
          <w:sz w:val="20"/>
          <w:szCs w:val="20"/>
        </w:rPr>
      </w:pPr>
      <w:r w:rsidRPr="00470480">
        <w:rPr>
          <w:rFonts w:ascii="Arial" w:hAnsi="Arial" w:cs="Arial"/>
          <w:sz w:val="20"/>
          <w:szCs w:val="20"/>
        </w:rPr>
        <w:t xml:space="preserve">Reference Link: </w:t>
      </w:r>
      <w:hyperlink r:id="rId7" w:history="1">
        <w:r w:rsidR="00B73361" w:rsidRPr="00470480">
          <w:rPr>
            <w:rStyle w:val="Hyperlink"/>
            <w:rFonts w:ascii="Arial" w:hAnsi="Arial" w:cs="Arial"/>
            <w:sz w:val="20"/>
            <w:szCs w:val="20"/>
          </w:rPr>
          <w:t>https://www.rbi.org.in/Scripts/NotificationUser.aspx?Id=12346&amp;Mode=0</w:t>
        </w:r>
      </w:hyperlink>
    </w:p>
    <w:p w:rsidR="00B73361" w:rsidRPr="00470480" w:rsidRDefault="00B73361" w:rsidP="008C7A02">
      <w:pPr>
        <w:rPr>
          <w:rFonts w:ascii="Arial" w:hAnsi="Arial" w:cs="Arial"/>
          <w:sz w:val="20"/>
          <w:szCs w:val="20"/>
        </w:rPr>
      </w:pPr>
    </w:p>
    <w:p w:rsidR="008C7A02" w:rsidRPr="00470480" w:rsidRDefault="008C7A02" w:rsidP="008C7A02">
      <w:pPr>
        <w:rPr>
          <w:rFonts w:ascii="Arial" w:hAnsi="Arial" w:cs="Arial"/>
          <w:sz w:val="20"/>
          <w:szCs w:val="20"/>
        </w:rPr>
      </w:pPr>
    </w:p>
    <w:p w:rsidR="008C7A02" w:rsidRPr="00470480" w:rsidRDefault="008C7A02" w:rsidP="008C7A02">
      <w:pPr>
        <w:rPr>
          <w:rFonts w:ascii="Arial" w:hAnsi="Arial" w:cs="Arial"/>
          <w:sz w:val="20"/>
          <w:szCs w:val="20"/>
        </w:rPr>
      </w:pPr>
    </w:p>
    <w:p w:rsidR="008C7A02" w:rsidRPr="00470480" w:rsidRDefault="008C7A02" w:rsidP="008C7A02">
      <w:pPr>
        <w:rPr>
          <w:rFonts w:ascii="Arial" w:hAnsi="Arial" w:cs="Arial"/>
          <w:b/>
          <w:bCs/>
          <w:color w:val="000000"/>
          <w:sz w:val="20"/>
          <w:szCs w:val="20"/>
        </w:rPr>
      </w:pPr>
    </w:p>
    <w:p w:rsidR="00470480" w:rsidRDefault="00470480" w:rsidP="008C7A02">
      <w:pPr>
        <w:rPr>
          <w:rFonts w:ascii="Arial" w:hAnsi="Arial" w:cs="Arial"/>
          <w:b/>
          <w:bCs/>
          <w:color w:val="000000"/>
          <w:sz w:val="20"/>
          <w:szCs w:val="20"/>
        </w:rPr>
      </w:pPr>
    </w:p>
    <w:p w:rsidR="00470480" w:rsidRDefault="0047048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2378C0" w:rsidRDefault="002378C0" w:rsidP="008C7A02">
      <w:pPr>
        <w:rPr>
          <w:rFonts w:ascii="Arial" w:hAnsi="Arial" w:cs="Arial"/>
          <w:b/>
          <w:bCs/>
          <w:color w:val="000000"/>
          <w:sz w:val="20"/>
          <w:szCs w:val="20"/>
        </w:rPr>
      </w:pPr>
    </w:p>
    <w:p w:rsidR="008C7A02" w:rsidRPr="00470480" w:rsidRDefault="008C7A02" w:rsidP="008C7A02">
      <w:pPr>
        <w:rPr>
          <w:rFonts w:ascii="Arial" w:hAnsi="Arial" w:cs="Arial"/>
          <w:b/>
          <w:bCs/>
          <w:color w:val="000000"/>
          <w:sz w:val="20"/>
          <w:szCs w:val="20"/>
        </w:rPr>
      </w:pPr>
      <w:r w:rsidRPr="00470480">
        <w:rPr>
          <w:rFonts w:ascii="Arial" w:hAnsi="Arial" w:cs="Arial"/>
          <w:b/>
          <w:bCs/>
          <w:color w:val="000000"/>
          <w:sz w:val="20"/>
          <w:szCs w:val="20"/>
        </w:rPr>
        <w:t>Restriction on Storage of Actual Card Data [i.e. Card-</w:t>
      </w:r>
      <w:proofErr w:type="gramStart"/>
      <w:r w:rsidRPr="00470480">
        <w:rPr>
          <w:rFonts w:ascii="Arial" w:hAnsi="Arial" w:cs="Arial"/>
          <w:b/>
          <w:bCs/>
          <w:color w:val="000000"/>
          <w:sz w:val="20"/>
          <w:szCs w:val="20"/>
        </w:rPr>
        <w:t>on</w:t>
      </w:r>
      <w:proofErr w:type="gramEnd"/>
      <w:r w:rsidRPr="00470480">
        <w:rPr>
          <w:rFonts w:ascii="Arial" w:hAnsi="Arial" w:cs="Arial"/>
          <w:b/>
          <w:bCs/>
          <w:color w:val="000000"/>
          <w:sz w:val="20"/>
          <w:szCs w:val="20"/>
        </w:rPr>
        <w:t>-File (</w:t>
      </w:r>
      <w:proofErr w:type="spellStart"/>
      <w:r w:rsidRPr="00470480">
        <w:rPr>
          <w:rFonts w:ascii="Arial" w:hAnsi="Arial" w:cs="Arial"/>
          <w:b/>
          <w:bCs/>
          <w:color w:val="000000"/>
          <w:sz w:val="20"/>
          <w:szCs w:val="20"/>
        </w:rPr>
        <w:t>CoF</w:t>
      </w:r>
      <w:proofErr w:type="spellEnd"/>
      <w:r w:rsidRPr="00470480">
        <w:rPr>
          <w:rFonts w:ascii="Arial" w:hAnsi="Arial" w:cs="Arial"/>
          <w:b/>
          <w:bCs/>
          <w:color w:val="000000"/>
          <w:sz w:val="20"/>
          <w:szCs w:val="20"/>
        </w:rPr>
        <w:t>)]</w:t>
      </w:r>
    </w:p>
    <w:p w:rsidR="008C7A02" w:rsidRPr="00470480" w:rsidRDefault="008C7A02" w:rsidP="008C7A02">
      <w:pPr>
        <w:rPr>
          <w:rFonts w:ascii="Arial" w:hAnsi="Arial" w:cs="Arial"/>
          <w:sz w:val="20"/>
          <w:szCs w:val="20"/>
        </w:rPr>
      </w:pPr>
      <w:r w:rsidRPr="00470480">
        <w:rPr>
          <w:rFonts w:ascii="Arial" w:hAnsi="Arial" w:cs="Arial"/>
          <w:sz w:val="20"/>
          <w:szCs w:val="20"/>
        </w:rPr>
        <w:t>RBI/2022-23/77</w:t>
      </w:r>
      <w:r w:rsidRPr="00470480">
        <w:rPr>
          <w:rFonts w:ascii="Arial" w:hAnsi="Arial" w:cs="Arial"/>
          <w:sz w:val="20"/>
          <w:szCs w:val="20"/>
        </w:rPr>
        <w:br/>
        <w:t>CO.DPSS.POLC.No.S-567/02-14-003/2022-23</w:t>
      </w:r>
    </w:p>
    <w:p w:rsidR="008C7A02" w:rsidRPr="00470480" w:rsidRDefault="008C7A02" w:rsidP="008C7A02">
      <w:pPr>
        <w:rPr>
          <w:rFonts w:ascii="Arial" w:hAnsi="Arial" w:cs="Arial"/>
          <w:sz w:val="20"/>
          <w:szCs w:val="20"/>
        </w:rPr>
      </w:pPr>
      <w:r w:rsidRPr="00470480">
        <w:rPr>
          <w:rFonts w:ascii="Arial" w:hAnsi="Arial" w:cs="Arial"/>
          <w:sz w:val="20"/>
          <w:szCs w:val="20"/>
        </w:rPr>
        <w:t>June 24, 2022</w:t>
      </w:r>
    </w:p>
    <w:p w:rsidR="008C7A02" w:rsidRPr="00470480" w:rsidRDefault="008C7A02" w:rsidP="008C7A02">
      <w:pPr>
        <w:rPr>
          <w:rFonts w:ascii="Arial" w:hAnsi="Arial" w:cs="Arial"/>
          <w:sz w:val="20"/>
          <w:szCs w:val="20"/>
        </w:rPr>
      </w:pPr>
      <w:r w:rsidRPr="00470480">
        <w:rPr>
          <w:rFonts w:ascii="Arial" w:hAnsi="Arial" w:cs="Arial"/>
          <w:sz w:val="20"/>
          <w:szCs w:val="20"/>
        </w:rPr>
        <w:t>All Payment System Providers and Payment System Participants</w:t>
      </w:r>
    </w:p>
    <w:p w:rsidR="008C7A02" w:rsidRPr="00470480" w:rsidRDefault="008C7A02" w:rsidP="008C7A02">
      <w:pPr>
        <w:rPr>
          <w:rFonts w:ascii="Arial" w:hAnsi="Arial" w:cs="Arial"/>
          <w:sz w:val="20"/>
          <w:szCs w:val="20"/>
        </w:rPr>
      </w:pPr>
      <w:r w:rsidRPr="00470480">
        <w:rPr>
          <w:rFonts w:ascii="Arial" w:hAnsi="Arial" w:cs="Arial"/>
          <w:sz w:val="20"/>
          <w:szCs w:val="20"/>
        </w:rPr>
        <w:t>Madam / Dear Sir,</w:t>
      </w:r>
    </w:p>
    <w:p w:rsidR="008C7A02" w:rsidRPr="00470480" w:rsidRDefault="008C7A02" w:rsidP="008C7A02">
      <w:pPr>
        <w:rPr>
          <w:rFonts w:ascii="Arial" w:hAnsi="Arial" w:cs="Arial"/>
          <w:b/>
          <w:bCs/>
          <w:sz w:val="20"/>
          <w:szCs w:val="20"/>
        </w:rPr>
      </w:pPr>
      <w:r w:rsidRPr="00470480">
        <w:rPr>
          <w:rFonts w:ascii="Arial" w:hAnsi="Arial" w:cs="Arial"/>
          <w:b/>
          <w:bCs/>
          <w:sz w:val="20"/>
          <w:szCs w:val="20"/>
        </w:rPr>
        <w:t>Restriction on Storage of Actual Card Data [i.e. Card-</w:t>
      </w:r>
      <w:proofErr w:type="gramStart"/>
      <w:r w:rsidRPr="00470480">
        <w:rPr>
          <w:rFonts w:ascii="Arial" w:hAnsi="Arial" w:cs="Arial"/>
          <w:b/>
          <w:bCs/>
          <w:sz w:val="20"/>
          <w:szCs w:val="20"/>
        </w:rPr>
        <w:t>on</w:t>
      </w:r>
      <w:proofErr w:type="gramEnd"/>
      <w:r w:rsidRPr="00470480">
        <w:rPr>
          <w:rFonts w:ascii="Arial" w:hAnsi="Arial" w:cs="Arial"/>
          <w:b/>
          <w:bCs/>
          <w:sz w:val="20"/>
          <w:szCs w:val="20"/>
        </w:rPr>
        <w:t>-File (</w:t>
      </w:r>
      <w:proofErr w:type="spellStart"/>
      <w:r w:rsidRPr="00470480">
        <w:rPr>
          <w:rFonts w:ascii="Arial" w:hAnsi="Arial" w:cs="Arial"/>
          <w:b/>
          <w:bCs/>
          <w:sz w:val="20"/>
          <w:szCs w:val="20"/>
        </w:rPr>
        <w:t>CoF</w:t>
      </w:r>
      <w:proofErr w:type="spellEnd"/>
      <w:r w:rsidRPr="00470480">
        <w:rPr>
          <w:rFonts w:ascii="Arial" w:hAnsi="Arial" w:cs="Arial"/>
          <w:b/>
          <w:bCs/>
          <w:sz w:val="20"/>
          <w:szCs w:val="20"/>
        </w:rPr>
        <w:t>)]</w:t>
      </w:r>
    </w:p>
    <w:p w:rsidR="008C7A02" w:rsidRPr="00470480" w:rsidRDefault="008C7A02" w:rsidP="008C7A02">
      <w:pPr>
        <w:rPr>
          <w:rFonts w:ascii="Arial" w:hAnsi="Arial" w:cs="Arial"/>
          <w:sz w:val="20"/>
          <w:szCs w:val="20"/>
        </w:rPr>
      </w:pPr>
      <w:r w:rsidRPr="00470480">
        <w:rPr>
          <w:rFonts w:ascii="Arial" w:hAnsi="Arial" w:cs="Arial"/>
          <w:sz w:val="20"/>
          <w:szCs w:val="20"/>
        </w:rPr>
        <w:t>Reference is invited to </w:t>
      </w:r>
      <w:hyperlink r:id="rId8" w:tgtFrame="_blank" w:history="1">
        <w:r w:rsidRPr="00470480">
          <w:rPr>
            <w:rStyle w:val="Hyperlink"/>
            <w:rFonts w:ascii="Arial" w:hAnsi="Arial" w:cs="Arial"/>
            <w:sz w:val="20"/>
            <w:szCs w:val="20"/>
          </w:rPr>
          <w:t>Reserve Bank of India (RBI) circulars DPSS.CO.PD.No.1810/02.14.008/ 2019-20 dated March 17, 2020</w:t>
        </w:r>
      </w:hyperlink>
      <w:r w:rsidRPr="00470480">
        <w:rPr>
          <w:rFonts w:ascii="Arial" w:hAnsi="Arial" w:cs="Arial"/>
          <w:sz w:val="20"/>
          <w:szCs w:val="20"/>
        </w:rPr>
        <w:t> and </w:t>
      </w:r>
      <w:hyperlink r:id="rId9" w:tgtFrame="_blank" w:history="1">
        <w:r w:rsidRPr="00470480">
          <w:rPr>
            <w:rStyle w:val="Hyperlink"/>
            <w:rFonts w:ascii="Arial" w:hAnsi="Arial" w:cs="Arial"/>
            <w:sz w:val="20"/>
            <w:szCs w:val="20"/>
          </w:rPr>
          <w:t>CO.DPSS.POLC.No.S33/02-14-008/2020-2021 dated March 31, 2021</w:t>
        </w:r>
      </w:hyperlink>
      <w:r w:rsidRPr="00470480">
        <w:rPr>
          <w:rFonts w:ascii="Arial" w:hAnsi="Arial" w:cs="Arial"/>
          <w:sz w:val="20"/>
          <w:szCs w:val="20"/>
        </w:rPr>
        <w:t> on “Guidelines on Regulation of Payment Aggregators and Payment Gateways”, and </w:t>
      </w:r>
      <w:hyperlink r:id="rId10" w:tgtFrame="_blank" w:history="1">
        <w:r w:rsidRPr="00470480">
          <w:rPr>
            <w:rStyle w:val="Hyperlink"/>
            <w:rFonts w:ascii="Arial" w:hAnsi="Arial" w:cs="Arial"/>
            <w:sz w:val="20"/>
            <w:szCs w:val="20"/>
          </w:rPr>
          <w:t>CO.DPSS.POLC.No.S-516/02-14-003/2021-22 dated September 07, 2021</w:t>
        </w:r>
      </w:hyperlink>
      <w:r w:rsidRPr="00470480">
        <w:rPr>
          <w:rFonts w:ascii="Arial" w:hAnsi="Arial" w:cs="Arial"/>
          <w:sz w:val="20"/>
          <w:szCs w:val="20"/>
        </w:rPr>
        <w:t> on “Tokenisation – Card Transactions: Permitting Card-on-File Tokenisation (</w:t>
      </w:r>
      <w:proofErr w:type="spellStart"/>
      <w:r w:rsidRPr="00470480">
        <w:rPr>
          <w:rFonts w:ascii="Arial" w:hAnsi="Arial" w:cs="Arial"/>
          <w:sz w:val="20"/>
          <w:szCs w:val="20"/>
        </w:rPr>
        <w:t>CoFT</w:t>
      </w:r>
      <w:proofErr w:type="spellEnd"/>
      <w:r w:rsidRPr="00470480">
        <w:rPr>
          <w:rFonts w:ascii="Arial" w:hAnsi="Arial" w:cs="Arial"/>
          <w:sz w:val="20"/>
          <w:szCs w:val="20"/>
        </w:rPr>
        <w:t>) Services”.</w:t>
      </w:r>
    </w:p>
    <w:p w:rsidR="008C7A02" w:rsidRPr="00470480" w:rsidRDefault="008C7A02" w:rsidP="008C7A02">
      <w:pPr>
        <w:rPr>
          <w:rFonts w:ascii="Arial" w:hAnsi="Arial" w:cs="Arial"/>
          <w:sz w:val="20"/>
          <w:szCs w:val="20"/>
        </w:rPr>
      </w:pPr>
      <w:r w:rsidRPr="00470480">
        <w:rPr>
          <w:rFonts w:ascii="Arial" w:hAnsi="Arial" w:cs="Arial"/>
          <w:sz w:val="20"/>
          <w:szCs w:val="20"/>
        </w:rPr>
        <w:t xml:space="preserve">2. In terms of these circulars, with effect from January 1, 2022, no entity in the card transaction / payment chain, other than the card issuers and / or card networks, shall store the </w:t>
      </w:r>
      <w:proofErr w:type="spellStart"/>
      <w:r w:rsidRPr="00470480">
        <w:rPr>
          <w:rFonts w:ascii="Arial" w:hAnsi="Arial" w:cs="Arial"/>
          <w:sz w:val="20"/>
          <w:szCs w:val="20"/>
        </w:rPr>
        <w:t>CoF</w:t>
      </w:r>
      <w:proofErr w:type="spellEnd"/>
      <w:r w:rsidRPr="00470480">
        <w:rPr>
          <w:rFonts w:ascii="Arial" w:hAnsi="Arial" w:cs="Arial"/>
          <w:sz w:val="20"/>
          <w:szCs w:val="20"/>
        </w:rPr>
        <w:t xml:space="preserve"> data, and any such data stored previously shall be purged. Subsequently, to allow more time to the industry stakeholders for devising alternate mechanism(s) to handle any use case or post-transaction activity, this timeline was extended to June 30, 2022, vide </w:t>
      </w:r>
      <w:hyperlink r:id="rId11" w:tgtFrame="_blank" w:history="1">
        <w:r w:rsidRPr="00470480">
          <w:rPr>
            <w:rStyle w:val="Hyperlink"/>
            <w:rFonts w:ascii="Arial" w:hAnsi="Arial" w:cs="Arial"/>
            <w:sz w:val="20"/>
            <w:szCs w:val="20"/>
          </w:rPr>
          <w:t>circular CO.DPSS.POLC.No.S-1211/02-14-003/2021-22 dated December 23, 2021</w:t>
        </w:r>
      </w:hyperlink>
      <w:r w:rsidRPr="00470480">
        <w:rPr>
          <w:rFonts w:ascii="Arial" w:hAnsi="Arial" w:cs="Arial"/>
          <w:sz w:val="20"/>
          <w:szCs w:val="20"/>
        </w:rPr>
        <w:t> on “Restriction on storage of actual card data [i.e. Card-on-File (</w:t>
      </w:r>
      <w:proofErr w:type="spellStart"/>
      <w:r w:rsidRPr="00470480">
        <w:rPr>
          <w:rFonts w:ascii="Arial" w:hAnsi="Arial" w:cs="Arial"/>
          <w:sz w:val="20"/>
          <w:szCs w:val="20"/>
        </w:rPr>
        <w:t>CoF</w:t>
      </w:r>
      <w:proofErr w:type="spellEnd"/>
      <w:r w:rsidRPr="00470480">
        <w:rPr>
          <w:rFonts w:ascii="Arial" w:hAnsi="Arial" w:cs="Arial"/>
          <w:sz w:val="20"/>
          <w:szCs w:val="20"/>
        </w:rPr>
        <w:t>)]”.</w:t>
      </w:r>
    </w:p>
    <w:p w:rsidR="008C7A02" w:rsidRPr="00470480" w:rsidRDefault="008C7A02" w:rsidP="008C7A02">
      <w:pPr>
        <w:rPr>
          <w:rFonts w:ascii="Arial" w:hAnsi="Arial" w:cs="Arial"/>
          <w:sz w:val="20"/>
          <w:szCs w:val="20"/>
        </w:rPr>
      </w:pPr>
      <w:r w:rsidRPr="00470480">
        <w:rPr>
          <w:rFonts w:ascii="Arial" w:hAnsi="Arial" w:cs="Arial"/>
          <w:sz w:val="20"/>
          <w:szCs w:val="20"/>
        </w:rPr>
        <w:t>3. On a review of the issues involved and after detailed discussions with all stakeholders, it is observed that considerable progress has been made in terms of token creation. Transaction processing based on these tokens has also commenced, though it is yet to gain traction across all categories of merchants. Further, an alternate system in respect of transactions where cardholders decide to enter the card details manually at the time of undertaking the transaction (commonly referred to as “guest checkout transactions”) has not been implemented by the industry stakeholders, so far.</w:t>
      </w:r>
    </w:p>
    <w:p w:rsidR="008C7A02" w:rsidRPr="00470480" w:rsidRDefault="008C7A02" w:rsidP="008C7A02">
      <w:pPr>
        <w:rPr>
          <w:rFonts w:ascii="Arial" w:hAnsi="Arial" w:cs="Arial"/>
          <w:sz w:val="20"/>
          <w:szCs w:val="20"/>
        </w:rPr>
      </w:pPr>
      <w:r w:rsidRPr="00470480">
        <w:rPr>
          <w:rFonts w:ascii="Arial" w:hAnsi="Arial" w:cs="Arial"/>
          <w:sz w:val="20"/>
          <w:szCs w:val="20"/>
        </w:rPr>
        <w:t xml:space="preserve">4. Given the above, it has been decided to extend the timeline for storing of </w:t>
      </w:r>
      <w:proofErr w:type="spellStart"/>
      <w:r w:rsidRPr="00470480">
        <w:rPr>
          <w:rFonts w:ascii="Arial" w:hAnsi="Arial" w:cs="Arial"/>
          <w:sz w:val="20"/>
          <w:szCs w:val="20"/>
        </w:rPr>
        <w:t>CoF</w:t>
      </w:r>
      <w:proofErr w:type="spellEnd"/>
      <w:r w:rsidRPr="00470480">
        <w:rPr>
          <w:rFonts w:ascii="Arial" w:hAnsi="Arial" w:cs="Arial"/>
          <w:sz w:val="20"/>
          <w:szCs w:val="20"/>
        </w:rPr>
        <w:t xml:space="preserve"> data by three months, i.e., till September 30, 2022, after which such data shall be purged.</w:t>
      </w:r>
    </w:p>
    <w:p w:rsidR="008C7A02" w:rsidRPr="00470480" w:rsidRDefault="008C7A02" w:rsidP="008C7A02">
      <w:pPr>
        <w:rPr>
          <w:rFonts w:ascii="Arial" w:hAnsi="Arial" w:cs="Arial"/>
          <w:sz w:val="20"/>
          <w:szCs w:val="20"/>
        </w:rPr>
      </w:pPr>
      <w:r w:rsidRPr="00470480">
        <w:rPr>
          <w:rFonts w:ascii="Arial" w:hAnsi="Arial" w:cs="Arial"/>
          <w:sz w:val="20"/>
          <w:szCs w:val="20"/>
        </w:rPr>
        <w:t>5. This directive is issued under Section 10 (2) read with Section 18 of Payment and Settlement Systems Act, 2007 (Act 51 of 2007).</w:t>
      </w:r>
    </w:p>
    <w:p w:rsidR="008C7A02" w:rsidRPr="00470480" w:rsidRDefault="008C7A02" w:rsidP="008C7A02">
      <w:pPr>
        <w:rPr>
          <w:rFonts w:ascii="Arial" w:hAnsi="Arial" w:cs="Arial"/>
          <w:sz w:val="20"/>
          <w:szCs w:val="20"/>
        </w:rPr>
      </w:pPr>
      <w:r w:rsidRPr="00470480">
        <w:rPr>
          <w:rFonts w:ascii="Arial" w:hAnsi="Arial" w:cs="Arial"/>
          <w:sz w:val="20"/>
          <w:szCs w:val="20"/>
        </w:rPr>
        <w:t>Yours faithfully,</w:t>
      </w:r>
    </w:p>
    <w:p w:rsidR="008C7A02" w:rsidRPr="00470480" w:rsidRDefault="008C7A02" w:rsidP="008C7A02">
      <w:pPr>
        <w:rPr>
          <w:rFonts w:ascii="Arial" w:hAnsi="Arial" w:cs="Arial"/>
          <w:sz w:val="20"/>
          <w:szCs w:val="20"/>
        </w:rPr>
      </w:pPr>
      <w:r w:rsidRPr="00470480">
        <w:rPr>
          <w:rFonts w:ascii="Arial" w:hAnsi="Arial" w:cs="Arial"/>
          <w:sz w:val="20"/>
          <w:szCs w:val="20"/>
        </w:rPr>
        <w:t xml:space="preserve">(P. </w:t>
      </w:r>
      <w:proofErr w:type="spellStart"/>
      <w:r w:rsidRPr="00470480">
        <w:rPr>
          <w:rFonts w:ascii="Arial" w:hAnsi="Arial" w:cs="Arial"/>
          <w:sz w:val="20"/>
          <w:szCs w:val="20"/>
        </w:rPr>
        <w:t>Vasudevan</w:t>
      </w:r>
      <w:proofErr w:type="spellEnd"/>
      <w:r w:rsidRPr="00470480">
        <w:rPr>
          <w:rFonts w:ascii="Arial" w:hAnsi="Arial" w:cs="Arial"/>
          <w:sz w:val="20"/>
          <w:szCs w:val="20"/>
        </w:rPr>
        <w:t>)</w:t>
      </w:r>
      <w:r w:rsidRPr="00470480">
        <w:rPr>
          <w:rFonts w:ascii="Arial" w:hAnsi="Arial" w:cs="Arial"/>
          <w:sz w:val="20"/>
          <w:szCs w:val="20"/>
        </w:rPr>
        <w:br/>
        <w:t>Chief General Manager</w:t>
      </w:r>
    </w:p>
    <w:p w:rsidR="00B73361" w:rsidRPr="00470480" w:rsidRDefault="00B73361" w:rsidP="008C7A02">
      <w:pPr>
        <w:rPr>
          <w:rFonts w:ascii="Arial" w:hAnsi="Arial" w:cs="Arial"/>
          <w:sz w:val="20"/>
          <w:szCs w:val="20"/>
        </w:rPr>
      </w:pPr>
    </w:p>
    <w:p w:rsidR="008C7A02" w:rsidRPr="00470480" w:rsidRDefault="00B73361" w:rsidP="008C7A02">
      <w:pPr>
        <w:rPr>
          <w:rFonts w:ascii="Arial" w:hAnsi="Arial" w:cs="Arial"/>
          <w:sz w:val="20"/>
          <w:szCs w:val="20"/>
        </w:rPr>
      </w:pPr>
      <w:r w:rsidRPr="00470480">
        <w:rPr>
          <w:rFonts w:ascii="Arial" w:hAnsi="Arial" w:cs="Arial"/>
          <w:sz w:val="20"/>
          <w:szCs w:val="20"/>
        </w:rPr>
        <w:t xml:space="preserve">Reference Link: </w:t>
      </w:r>
      <w:hyperlink r:id="rId12" w:history="1">
        <w:r w:rsidRPr="00470480">
          <w:rPr>
            <w:rStyle w:val="Hyperlink"/>
            <w:rFonts w:ascii="Arial" w:hAnsi="Arial" w:cs="Arial"/>
            <w:sz w:val="20"/>
            <w:szCs w:val="20"/>
          </w:rPr>
          <w:t>https://www.rbi.org.in/Scripts/NotificationUser.aspx?Id=12345&amp;Mode=0</w:t>
        </w:r>
      </w:hyperlink>
    </w:p>
    <w:p w:rsidR="00B73361" w:rsidRPr="00470480" w:rsidRDefault="00B73361" w:rsidP="008C7A02">
      <w:pPr>
        <w:rPr>
          <w:rFonts w:ascii="Arial" w:hAnsi="Arial" w:cs="Arial"/>
          <w:sz w:val="20"/>
          <w:szCs w:val="20"/>
        </w:rPr>
      </w:pPr>
    </w:p>
    <w:p w:rsidR="008C7A02" w:rsidRPr="00470480" w:rsidRDefault="008C7A02" w:rsidP="008C7A02">
      <w:pPr>
        <w:rPr>
          <w:rFonts w:ascii="Arial" w:hAnsi="Arial" w:cs="Arial"/>
          <w:sz w:val="20"/>
          <w:szCs w:val="20"/>
        </w:rPr>
      </w:pPr>
    </w:p>
    <w:p w:rsidR="00470480" w:rsidRDefault="00470480" w:rsidP="008C7A02">
      <w:pPr>
        <w:jc w:val="both"/>
        <w:rPr>
          <w:rFonts w:ascii="Arial" w:hAnsi="Arial" w:cs="Arial"/>
          <w:b/>
          <w:bCs/>
          <w:color w:val="000000"/>
          <w:sz w:val="20"/>
          <w:szCs w:val="20"/>
        </w:rPr>
      </w:pPr>
    </w:p>
    <w:p w:rsidR="00470480" w:rsidRDefault="00470480" w:rsidP="008C7A02">
      <w:pPr>
        <w:jc w:val="both"/>
        <w:rPr>
          <w:rFonts w:ascii="Arial" w:hAnsi="Arial" w:cs="Arial"/>
          <w:b/>
          <w:bCs/>
          <w:color w:val="000000"/>
          <w:sz w:val="20"/>
          <w:szCs w:val="20"/>
        </w:rPr>
      </w:pPr>
    </w:p>
    <w:p w:rsidR="00470480" w:rsidRDefault="00470480" w:rsidP="008C7A02">
      <w:pPr>
        <w:jc w:val="both"/>
        <w:rPr>
          <w:rFonts w:ascii="Arial" w:hAnsi="Arial" w:cs="Arial"/>
          <w:b/>
          <w:bCs/>
          <w:color w:val="000000"/>
          <w:sz w:val="20"/>
          <w:szCs w:val="20"/>
        </w:rPr>
      </w:pPr>
    </w:p>
    <w:p w:rsidR="00470480" w:rsidRDefault="00470480" w:rsidP="008C7A02">
      <w:pPr>
        <w:jc w:val="both"/>
        <w:rPr>
          <w:rFonts w:ascii="Arial" w:hAnsi="Arial" w:cs="Arial"/>
          <w:b/>
          <w:bCs/>
          <w:color w:val="000000"/>
          <w:sz w:val="20"/>
          <w:szCs w:val="20"/>
        </w:rPr>
      </w:pPr>
    </w:p>
    <w:p w:rsidR="00470480" w:rsidRDefault="00470480" w:rsidP="008C7A02">
      <w:pPr>
        <w:jc w:val="both"/>
        <w:rPr>
          <w:rFonts w:ascii="Arial" w:hAnsi="Arial" w:cs="Arial"/>
          <w:b/>
          <w:bCs/>
          <w:color w:val="000000"/>
          <w:sz w:val="20"/>
          <w:szCs w:val="20"/>
        </w:rPr>
      </w:pPr>
    </w:p>
    <w:p w:rsidR="008C7A02" w:rsidRPr="00470480" w:rsidRDefault="008C7A02" w:rsidP="008C7A02">
      <w:pPr>
        <w:jc w:val="both"/>
        <w:rPr>
          <w:rFonts w:ascii="Arial" w:hAnsi="Arial" w:cs="Arial"/>
          <w:b/>
          <w:bCs/>
          <w:color w:val="000000"/>
          <w:sz w:val="20"/>
          <w:szCs w:val="20"/>
        </w:rPr>
      </w:pPr>
      <w:r w:rsidRPr="00470480">
        <w:rPr>
          <w:rFonts w:ascii="Arial" w:hAnsi="Arial" w:cs="Arial"/>
          <w:b/>
          <w:bCs/>
          <w:color w:val="000000"/>
          <w:sz w:val="20"/>
          <w:szCs w:val="20"/>
        </w:rPr>
        <w:t xml:space="preserve">Master Circular - Housing Finance for UCBs </w:t>
      </w:r>
    </w:p>
    <w:p w:rsidR="008C7A02" w:rsidRPr="00470480" w:rsidRDefault="008C7A02" w:rsidP="008C7A02">
      <w:pPr>
        <w:jc w:val="both"/>
        <w:rPr>
          <w:rFonts w:ascii="Arial" w:hAnsi="Arial" w:cs="Arial"/>
          <w:sz w:val="20"/>
          <w:szCs w:val="20"/>
        </w:rPr>
      </w:pPr>
      <w:r w:rsidRPr="00470480">
        <w:rPr>
          <w:rFonts w:ascii="Arial" w:hAnsi="Arial" w:cs="Arial"/>
          <w:sz w:val="20"/>
          <w:szCs w:val="20"/>
        </w:rPr>
        <w:t>RBI/2022-23/76</w:t>
      </w:r>
      <w:r w:rsidRPr="00470480">
        <w:rPr>
          <w:rFonts w:ascii="Arial" w:hAnsi="Arial" w:cs="Arial"/>
          <w:sz w:val="20"/>
          <w:szCs w:val="20"/>
        </w:rPr>
        <w:br/>
        <w:t>DOR.CRE.REC.No.49/09.22.010/2022-23</w:t>
      </w:r>
    </w:p>
    <w:p w:rsidR="008C7A02" w:rsidRPr="00470480" w:rsidRDefault="008C7A02" w:rsidP="008C7A02">
      <w:pPr>
        <w:jc w:val="both"/>
        <w:rPr>
          <w:rFonts w:ascii="Arial" w:hAnsi="Arial" w:cs="Arial"/>
          <w:sz w:val="20"/>
          <w:szCs w:val="20"/>
        </w:rPr>
      </w:pPr>
      <w:r w:rsidRPr="00470480">
        <w:rPr>
          <w:rFonts w:ascii="Arial" w:hAnsi="Arial" w:cs="Arial"/>
          <w:sz w:val="20"/>
          <w:szCs w:val="20"/>
        </w:rPr>
        <w:t>June 23, 2022</w:t>
      </w:r>
    </w:p>
    <w:p w:rsidR="008C7A02" w:rsidRPr="00470480" w:rsidRDefault="008C7A02" w:rsidP="008C7A02">
      <w:pPr>
        <w:jc w:val="both"/>
        <w:rPr>
          <w:rFonts w:ascii="Arial" w:hAnsi="Arial" w:cs="Arial"/>
          <w:sz w:val="20"/>
          <w:szCs w:val="20"/>
        </w:rPr>
      </w:pPr>
      <w:r w:rsidRPr="00470480">
        <w:rPr>
          <w:rFonts w:ascii="Arial" w:hAnsi="Arial" w:cs="Arial"/>
          <w:sz w:val="20"/>
          <w:szCs w:val="20"/>
        </w:rPr>
        <w:t>All Primary (Urban) Co-operative Banks</w:t>
      </w:r>
    </w:p>
    <w:p w:rsidR="008C7A02" w:rsidRPr="00470480" w:rsidRDefault="008C7A02" w:rsidP="008C7A02">
      <w:pPr>
        <w:jc w:val="both"/>
        <w:rPr>
          <w:rFonts w:ascii="Arial" w:hAnsi="Arial" w:cs="Arial"/>
          <w:sz w:val="20"/>
          <w:szCs w:val="20"/>
        </w:rPr>
      </w:pPr>
      <w:r w:rsidRPr="00470480">
        <w:rPr>
          <w:rFonts w:ascii="Arial" w:hAnsi="Arial" w:cs="Arial"/>
          <w:sz w:val="20"/>
          <w:szCs w:val="20"/>
        </w:rPr>
        <w:t>Madam/Dear Sir,</w:t>
      </w:r>
    </w:p>
    <w:p w:rsidR="008C7A02" w:rsidRPr="00470480" w:rsidRDefault="008C7A02" w:rsidP="008C7A02">
      <w:pPr>
        <w:jc w:val="both"/>
        <w:rPr>
          <w:rFonts w:ascii="Arial" w:hAnsi="Arial" w:cs="Arial"/>
          <w:b/>
          <w:bCs/>
          <w:sz w:val="20"/>
          <w:szCs w:val="20"/>
        </w:rPr>
      </w:pPr>
      <w:r w:rsidRPr="00470480">
        <w:rPr>
          <w:rFonts w:ascii="Arial" w:hAnsi="Arial" w:cs="Arial"/>
          <w:b/>
          <w:bCs/>
          <w:sz w:val="20"/>
          <w:szCs w:val="20"/>
        </w:rPr>
        <w:t>Master Circular - Housing Finance for UCBs</w:t>
      </w:r>
    </w:p>
    <w:p w:rsidR="008C7A02" w:rsidRPr="00470480" w:rsidRDefault="008C7A02" w:rsidP="008C7A02">
      <w:pPr>
        <w:jc w:val="both"/>
        <w:rPr>
          <w:rFonts w:ascii="Arial" w:hAnsi="Arial" w:cs="Arial"/>
          <w:sz w:val="20"/>
          <w:szCs w:val="20"/>
        </w:rPr>
      </w:pPr>
      <w:r w:rsidRPr="00470480">
        <w:rPr>
          <w:rFonts w:ascii="Arial" w:hAnsi="Arial" w:cs="Arial"/>
          <w:sz w:val="20"/>
          <w:szCs w:val="20"/>
        </w:rPr>
        <w:t>Please refer to our </w:t>
      </w:r>
      <w:hyperlink r:id="rId13" w:tgtFrame="_blank" w:history="1">
        <w:r w:rsidRPr="00470480">
          <w:rPr>
            <w:rStyle w:val="Hyperlink"/>
            <w:rFonts w:ascii="Arial" w:hAnsi="Arial" w:cs="Arial"/>
            <w:sz w:val="20"/>
            <w:szCs w:val="20"/>
          </w:rPr>
          <w:t>Master Circular DCBR.BPD.(PCB) MC No.9/09.22.010/2015-16 dated July 1, 2015</w:t>
        </w:r>
      </w:hyperlink>
      <w:r w:rsidRPr="00470480">
        <w:rPr>
          <w:rFonts w:ascii="Arial" w:hAnsi="Arial" w:cs="Arial"/>
          <w:sz w:val="20"/>
          <w:szCs w:val="20"/>
        </w:rPr>
        <w:t> on the captioned subject (available at RBI website </w:t>
      </w:r>
      <w:hyperlink r:id="rId14" w:tgtFrame="_blank" w:history="1">
        <w:r w:rsidRPr="00470480">
          <w:rPr>
            <w:rStyle w:val="Hyperlink"/>
            <w:rFonts w:ascii="Arial" w:hAnsi="Arial" w:cs="Arial"/>
            <w:sz w:val="20"/>
            <w:szCs w:val="20"/>
          </w:rPr>
          <w:t>https://rbi.org.in/</w:t>
        </w:r>
      </w:hyperlink>
      <w:r w:rsidRPr="00470480">
        <w:rPr>
          <w:rFonts w:ascii="Arial" w:hAnsi="Arial" w:cs="Arial"/>
          <w:sz w:val="20"/>
          <w:szCs w:val="20"/>
        </w:rPr>
        <w:t>). The enclosed </w:t>
      </w:r>
      <w:hyperlink r:id="rId15" w:anchor="MC" w:history="1">
        <w:r w:rsidRPr="00470480">
          <w:rPr>
            <w:rStyle w:val="Hyperlink"/>
            <w:rFonts w:ascii="Arial" w:hAnsi="Arial" w:cs="Arial"/>
            <w:sz w:val="20"/>
            <w:szCs w:val="20"/>
          </w:rPr>
          <w:t>Master Circular</w:t>
        </w:r>
      </w:hyperlink>
      <w:r w:rsidRPr="00470480">
        <w:rPr>
          <w:rFonts w:ascii="Arial" w:hAnsi="Arial" w:cs="Arial"/>
          <w:sz w:val="20"/>
          <w:szCs w:val="20"/>
        </w:rPr>
        <w:t> consolidates and updates all the instructions / guidelines on the subject issued till date.</w:t>
      </w:r>
    </w:p>
    <w:p w:rsidR="008C7A02" w:rsidRPr="00470480" w:rsidRDefault="008C7A02" w:rsidP="008C7A02">
      <w:pPr>
        <w:jc w:val="both"/>
        <w:rPr>
          <w:rFonts w:ascii="Arial" w:hAnsi="Arial" w:cs="Arial"/>
          <w:sz w:val="20"/>
          <w:szCs w:val="20"/>
        </w:rPr>
      </w:pPr>
      <w:r w:rsidRPr="00470480">
        <w:rPr>
          <w:rFonts w:ascii="Arial" w:hAnsi="Arial" w:cs="Arial"/>
          <w:sz w:val="20"/>
          <w:szCs w:val="20"/>
        </w:rPr>
        <w:t>Yours faithfully</w:t>
      </w:r>
    </w:p>
    <w:p w:rsidR="008C7A02" w:rsidRPr="00470480" w:rsidRDefault="008C7A02" w:rsidP="008C7A02">
      <w:pPr>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r w:rsidRPr="00470480">
        <w:rPr>
          <w:rFonts w:ascii="Arial" w:hAnsi="Arial" w:cs="Arial"/>
          <w:sz w:val="20"/>
          <w:szCs w:val="20"/>
        </w:rPr>
        <w:br/>
        <w:t>Chief General Manager</w:t>
      </w:r>
    </w:p>
    <w:p w:rsidR="008C7A02" w:rsidRPr="00470480" w:rsidRDefault="008C7A02" w:rsidP="008C7A02">
      <w:pPr>
        <w:jc w:val="both"/>
        <w:rPr>
          <w:rFonts w:ascii="Arial" w:hAnsi="Arial" w:cs="Arial"/>
          <w:sz w:val="20"/>
          <w:szCs w:val="20"/>
        </w:rPr>
      </w:pPr>
      <w:proofErr w:type="spellStart"/>
      <w:r w:rsidRPr="00470480">
        <w:rPr>
          <w:rFonts w:ascii="Arial" w:hAnsi="Arial" w:cs="Arial"/>
          <w:sz w:val="20"/>
          <w:szCs w:val="20"/>
        </w:rPr>
        <w:t>Encl</w:t>
      </w:r>
      <w:proofErr w:type="spellEnd"/>
      <w:r w:rsidRPr="00470480">
        <w:rPr>
          <w:rFonts w:ascii="Arial" w:hAnsi="Arial" w:cs="Arial"/>
          <w:sz w:val="20"/>
          <w:szCs w:val="20"/>
        </w:rPr>
        <w:t>: as above</w:t>
      </w:r>
    </w:p>
    <w:p w:rsidR="008C7A02" w:rsidRPr="00470480" w:rsidRDefault="008C7A02" w:rsidP="00BA5B87">
      <w:pPr>
        <w:jc w:val="center"/>
        <w:rPr>
          <w:rFonts w:ascii="Arial" w:hAnsi="Arial" w:cs="Arial"/>
          <w:b/>
          <w:bCs/>
          <w:sz w:val="20"/>
          <w:szCs w:val="20"/>
        </w:rPr>
      </w:pPr>
      <w:r w:rsidRPr="00470480">
        <w:rPr>
          <w:rFonts w:ascii="Arial" w:hAnsi="Arial" w:cs="Arial"/>
          <w:b/>
          <w:bCs/>
          <w:sz w:val="20"/>
          <w:szCs w:val="20"/>
        </w:rPr>
        <w:t>Master Circular</w:t>
      </w:r>
    </w:p>
    <w:p w:rsidR="008C7A02" w:rsidRPr="00470480" w:rsidRDefault="008C7A02" w:rsidP="00BA5B87">
      <w:pPr>
        <w:jc w:val="center"/>
        <w:rPr>
          <w:rFonts w:ascii="Arial" w:hAnsi="Arial" w:cs="Arial"/>
          <w:b/>
          <w:bCs/>
          <w:sz w:val="20"/>
          <w:szCs w:val="20"/>
        </w:rPr>
      </w:pPr>
      <w:r w:rsidRPr="00470480">
        <w:rPr>
          <w:rFonts w:ascii="Arial" w:hAnsi="Arial" w:cs="Arial"/>
          <w:b/>
          <w:bCs/>
          <w:sz w:val="20"/>
          <w:szCs w:val="20"/>
        </w:rPr>
        <w:t>Housing Finance for UCBs</w:t>
      </w:r>
    </w:p>
    <w:tbl>
      <w:tblPr>
        <w:tblW w:w="3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94"/>
        <w:gridCol w:w="5613"/>
      </w:tblGrid>
      <w:tr w:rsidR="008C7A02" w:rsidRPr="00470480" w:rsidTr="008C7A0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b/>
                <w:bCs/>
                <w:sz w:val="20"/>
                <w:szCs w:val="20"/>
              </w:rPr>
            </w:pPr>
            <w:r w:rsidRPr="00470480">
              <w:rPr>
                <w:rFonts w:ascii="Arial" w:hAnsi="Arial" w:cs="Arial"/>
                <w:b/>
                <w:bCs/>
                <w:sz w:val="20"/>
                <w:szCs w:val="20"/>
              </w:rPr>
              <w:t>Contents</w:t>
            </w:r>
          </w:p>
        </w:tc>
      </w:tr>
      <w:tr w:rsidR="008C7A02" w:rsidRPr="00470480" w:rsidTr="008C7A02">
        <w:trPr>
          <w:jc w:val="center"/>
        </w:trPr>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1</w:t>
            </w:r>
          </w:p>
        </w:tc>
        <w:tc>
          <w:tcPr>
            <w:tcW w:w="4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16" w:anchor="1" w:history="1">
              <w:r w:rsidR="008C7A02" w:rsidRPr="00470480">
                <w:rPr>
                  <w:rStyle w:val="Hyperlink"/>
                  <w:rFonts w:ascii="Arial" w:hAnsi="Arial" w:cs="Arial"/>
                  <w:sz w:val="20"/>
                  <w:szCs w:val="20"/>
                </w:rPr>
                <w:t>General</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17" w:anchor="2" w:history="1">
              <w:r w:rsidR="008C7A02" w:rsidRPr="00470480">
                <w:rPr>
                  <w:rStyle w:val="Hyperlink"/>
                  <w:rFonts w:ascii="Arial" w:hAnsi="Arial" w:cs="Arial"/>
                  <w:sz w:val="20"/>
                  <w:szCs w:val="20"/>
                </w:rPr>
                <w:t>Eligible Category of Borrowers</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18" w:anchor="3" w:history="1">
              <w:r w:rsidR="008C7A02" w:rsidRPr="00470480">
                <w:rPr>
                  <w:rStyle w:val="Hyperlink"/>
                  <w:rFonts w:ascii="Arial" w:hAnsi="Arial" w:cs="Arial"/>
                  <w:sz w:val="20"/>
                  <w:szCs w:val="20"/>
                </w:rPr>
                <w:t>Eligible Housing Schemes</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19" w:anchor="4" w:history="1">
              <w:r w:rsidR="008C7A02" w:rsidRPr="00470480">
                <w:rPr>
                  <w:rStyle w:val="Hyperlink"/>
                  <w:rFonts w:ascii="Arial" w:hAnsi="Arial" w:cs="Arial"/>
                  <w:sz w:val="20"/>
                  <w:szCs w:val="20"/>
                </w:rPr>
                <w:t>Terms and Conditions for Housing Loans</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4.1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20" w:anchor="41" w:history="1">
              <w:r w:rsidR="008C7A02" w:rsidRPr="00470480">
                <w:rPr>
                  <w:rStyle w:val="Hyperlink"/>
                  <w:rFonts w:ascii="Arial" w:hAnsi="Arial" w:cs="Arial"/>
                  <w:sz w:val="20"/>
                  <w:szCs w:val="20"/>
                </w:rPr>
                <w:t>Maximum Loan Amount and Margin</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4.2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21" w:anchor="42A" w:history="1">
              <w:r w:rsidR="008C7A02" w:rsidRPr="00470480">
                <w:rPr>
                  <w:rStyle w:val="Hyperlink"/>
                  <w:rFonts w:ascii="Arial" w:hAnsi="Arial" w:cs="Arial"/>
                  <w:sz w:val="20"/>
                  <w:szCs w:val="20"/>
                </w:rPr>
                <w:t>A. Interest</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 </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22" w:anchor="42B" w:history="1">
              <w:r w:rsidR="008C7A02" w:rsidRPr="00470480">
                <w:rPr>
                  <w:rStyle w:val="Hyperlink"/>
                  <w:rFonts w:ascii="Arial" w:hAnsi="Arial" w:cs="Arial"/>
                  <w:sz w:val="20"/>
                  <w:szCs w:val="20"/>
                </w:rPr>
                <w:t>B. Foreclosure Charges / Prepayment Penalty</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4.3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23" w:anchor="43" w:history="1">
              <w:r w:rsidR="008C7A02" w:rsidRPr="00470480">
                <w:rPr>
                  <w:rStyle w:val="Hyperlink"/>
                  <w:rFonts w:ascii="Arial" w:hAnsi="Arial" w:cs="Arial"/>
                  <w:sz w:val="20"/>
                  <w:szCs w:val="20"/>
                </w:rPr>
                <w:t>Charging of Penal Interest</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4.4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24" w:anchor="44" w:history="1">
              <w:r w:rsidR="008C7A02" w:rsidRPr="00470480">
                <w:rPr>
                  <w:rStyle w:val="Hyperlink"/>
                  <w:rFonts w:ascii="Arial" w:hAnsi="Arial" w:cs="Arial"/>
                  <w:sz w:val="20"/>
                  <w:szCs w:val="20"/>
                </w:rPr>
                <w:t>Security</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4.5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25" w:anchor="45" w:history="1">
              <w:r w:rsidR="008C7A02" w:rsidRPr="00470480">
                <w:rPr>
                  <w:rStyle w:val="Hyperlink"/>
                  <w:rFonts w:ascii="Arial" w:hAnsi="Arial" w:cs="Arial"/>
                  <w:sz w:val="20"/>
                  <w:szCs w:val="20"/>
                </w:rPr>
                <w:t>Period of Loan</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4.6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26" w:anchor="46" w:history="1">
              <w:r w:rsidR="008C7A02" w:rsidRPr="00470480">
                <w:rPr>
                  <w:rStyle w:val="Hyperlink"/>
                  <w:rFonts w:ascii="Arial" w:hAnsi="Arial" w:cs="Arial"/>
                  <w:sz w:val="20"/>
                  <w:szCs w:val="20"/>
                </w:rPr>
                <w:t>Graduated Instalments</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4.7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27" w:anchor="47" w:history="1">
              <w:r w:rsidR="008C7A02" w:rsidRPr="00470480">
                <w:rPr>
                  <w:rStyle w:val="Hyperlink"/>
                  <w:rFonts w:ascii="Arial" w:hAnsi="Arial" w:cs="Arial"/>
                  <w:sz w:val="20"/>
                  <w:szCs w:val="20"/>
                </w:rPr>
                <w:t>Aggregate Limit for Housing Finance</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28" w:anchor="5" w:history="1">
              <w:r w:rsidR="008C7A02" w:rsidRPr="00470480">
                <w:rPr>
                  <w:rStyle w:val="Hyperlink"/>
                  <w:rFonts w:ascii="Arial" w:hAnsi="Arial" w:cs="Arial"/>
                  <w:sz w:val="20"/>
                  <w:szCs w:val="20"/>
                </w:rPr>
                <w:t>Additional / Supplementary Finance</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29" w:anchor="6" w:history="1">
              <w:r w:rsidR="008C7A02" w:rsidRPr="00470480">
                <w:rPr>
                  <w:rStyle w:val="Hyperlink"/>
                  <w:rFonts w:ascii="Arial" w:hAnsi="Arial" w:cs="Arial"/>
                  <w:sz w:val="20"/>
                  <w:szCs w:val="20"/>
                </w:rPr>
                <w:t>Lending to Housing Boards</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30" w:anchor="7" w:history="1">
              <w:r w:rsidR="008C7A02" w:rsidRPr="00470480">
                <w:rPr>
                  <w:rStyle w:val="Hyperlink"/>
                  <w:rFonts w:ascii="Arial" w:hAnsi="Arial" w:cs="Arial"/>
                  <w:sz w:val="20"/>
                  <w:szCs w:val="20"/>
                </w:rPr>
                <w:t>Advances to Builders / Contractors</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31" w:anchor="8" w:history="1">
              <w:r w:rsidR="008C7A02" w:rsidRPr="00470480">
                <w:rPr>
                  <w:rStyle w:val="Hyperlink"/>
                  <w:rFonts w:ascii="Arial" w:hAnsi="Arial" w:cs="Arial"/>
                  <w:sz w:val="20"/>
                  <w:szCs w:val="20"/>
                </w:rPr>
                <w:t>Housing Loans under Priority Sector</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32" w:anchor="9" w:history="1">
              <w:r w:rsidR="008C7A02" w:rsidRPr="00470480">
                <w:rPr>
                  <w:rStyle w:val="Hyperlink"/>
                  <w:rFonts w:ascii="Arial" w:hAnsi="Arial" w:cs="Arial"/>
                  <w:sz w:val="20"/>
                  <w:szCs w:val="20"/>
                </w:rPr>
                <w:t>Precautions</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lastRenderedPageBreak/>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33" w:anchor="10" w:history="1">
              <w:r w:rsidR="008C7A02" w:rsidRPr="00470480">
                <w:rPr>
                  <w:rStyle w:val="Hyperlink"/>
                  <w:rFonts w:ascii="Arial" w:hAnsi="Arial" w:cs="Arial"/>
                  <w:sz w:val="20"/>
                  <w:szCs w:val="20"/>
                </w:rPr>
                <w:t>National Building Code</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34" w:anchor="AN1" w:history="1">
              <w:r w:rsidR="008C7A02" w:rsidRPr="00470480">
                <w:rPr>
                  <w:rStyle w:val="Hyperlink"/>
                  <w:rFonts w:ascii="Arial" w:hAnsi="Arial" w:cs="Arial"/>
                  <w:sz w:val="20"/>
                  <w:szCs w:val="20"/>
                </w:rPr>
                <w:t>Annex 1</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35" w:anchor="AN2" w:history="1">
              <w:r w:rsidR="008C7A02" w:rsidRPr="00470480">
                <w:rPr>
                  <w:rStyle w:val="Hyperlink"/>
                  <w:rFonts w:ascii="Arial" w:hAnsi="Arial" w:cs="Arial"/>
                  <w:sz w:val="20"/>
                  <w:szCs w:val="20"/>
                </w:rPr>
                <w:t>Annex 2</w:t>
              </w:r>
            </w:hyperlink>
          </w:p>
        </w:tc>
      </w:tr>
      <w:tr w:rsidR="008C7A02" w:rsidRPr="00470480" w:rsidTr="008C7A0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8C7A02" w:rsidP="008C7A02">
            <w:pPr>
              <w:jc w:val="both"/>
              <w:rPr>
                <w:rFonts w:ascii="Arial" w:hAnsi="Arial" w:cs="Arial"/>
                <w:sz w:val="20"/>
                <w:szCs w:val="20"/>
              </w:rPr>
            </w:pPr>
            <w:r w:rsidRPr="00470480">
              <w:rPr>
                <w:rFonts w:ascii="Arial" w:hAnsi="Arial" w:cs="Arial"/>
                <w:sz w:val="20"/>
                <w:szCs w:val="20"/>
              </w:rPr>
              <w: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C7A02" w:rsidRPr="00470480" w:rsidRDefault="00FD1759" w:rsidP="008C7A02">
            <w:pPr>
              <w:jc w:val="both"/>
              <w:rPr>
                <w:rFonts w:ascii="Arial" w:hAnsi="Arial" w:cs="Arial"/>
                <w:sz w:val="20"/>
                <w:szCs w:val="20"/>
              </w:rPr>
            </w:pPr>
            <w:hyperlink r:id="rId36" w:anchor="AP" w:history="1">
              <w:r w:rsidR="008C7A02" w:rsidRPr="00470480">
                <w:rPr>
                  <w:rStyle w:val="Hyperlink"/>
                  <w:rFonts w:ascii="Arial" w:hAnsi="Arial" w:cs="Arial"/>
                  <w:sz w:val="20"/>
                  <w:szCs w:val="20"/>
                </w:rPr>
                <w:t>Appendix</w:t>
              </w:r>
            </w:hyperlink>
          </w:p>
        </w:tc>
      </w:tr>
    </w:tbl>
    <w:p w:rsidR="008C7A02" w:rsidRDefault="008C7A02" w:rsidP="008C7A02">
      <w:pPr>
        <w:jc w:val="both"/>
        <w:rPr>
          <w:rFonts w:ascii="Arial" w:hAnsi="Arial" w:cs="Arial"/>
          <w:b/>
          <w:bCs/>
          <w:sz w:val="20"/>
          <w:szCs w:val="20"/>
        </w:rPr>
      </w:pPr>
    </w:p>
    <w:p w:rsidR="00BA5B87" w:rsidRDefault="00BA5B87" w:rsidP="00BA5B87">
      <w:pPr>
        <w:jc w:val="both"/>
        <w:rPr>
          <w:rFonts w:ascii="Arial" w:hAnsi="Arial" w:cs="Arial"/>
          <w:sz w:val="20"/>
          <w:szCs w:val="20"/>
        </w:rPr>
      </w:pPr>
    </w:p>
    <w:p w:rsidR="00BA5B87" w:rsidRPr="00BA5B87" w:rsidRDefault="00BA5B87" w:rsidP="00BA5B87">
      <w:pPr>
        <w:jc w:val="both"/>
        <w:rPr>
          <w:rFonts w:ascii="Arial" w:hAnsi="Arial" w:cs="Arial"/>
          <w:sz w:val="20"/>
          <w:szCs w:val="20"/>
        </w:rPr>
      </w:pPr>
      <w:r w:rsidRPr="00BA5B87">
        <w:rPr>
          <w:rFonts w:ascii="Arial" w:hAnsi="Arial" w:cs="Arial"/>
          <w:sz w:val="20"/>
          <w:szCs w:val="20"/>
        </w:rPr>
        <w:t xml:space="preserve">Details under each of the above </w:t>
      </w:r>
      <w:r w:rsidR="0073686B">
        <w:rPr>
          <w:rFonts w:ascii="Arial" w:hAnsi="Arial" w:cs="Arial"/>
          <w:sz w:val="20"/>
          <w:szCs w:val="20"/>
        </w:rPr>
        <w:t xml:space="preserve">headings </w:t>
      </w:r>
      <w:r w:rsidRPr="00BA5B87">
        <w:rPr>
          <w:rFonts w:ascii="Arial" w:hAnsi="Arial" w:cs="Arial"/>
          <w:sz w:val="20"/>
          <w:szCs w:val="20"/>
        </w:rPr>
        <w:t>can be read from the below link</w:t>
      </w:r>
      <w:r w:rsidR="00F137D4">
        <w:rPr>
          <w:rFonts w:ascii="Arial" w:hAnsi="Arial" w:cs="Arial"/>
          <w:sz w:val="20"/>
          <w:szCs w:val="20"/>
        </w:rPr>
        <w:t>.</w:t>
      </w:r>
    </w:p>
    <w:p w:rsidR="008C7A02" w:rsidRPr="00470480" w:rsidRDefault="00B73361" w:rsidP="008C7A02">
      <w:pPr>
        <w:jc w:val="both"/>
        <w:rPr>
          <w:rFonts w:ascii="Arial" w:hAnsi="Arial" w:cs="Arial"/>
          <w:sz w:val="20"/>
          <w:szCs w:val="20"/>
        </w:rPr>
      </w:pPr>
      <w:r w:rsidRPr="00470480">
        <w:rPr>
          <w:rFonts w:ascii="Arial" w:hAnsi="Arial" w:cs="Arial"/>
          <w:sz w:val="20"/>
          <w:szCs w:val="20"/>
        </w:rPr>
        <w:t xml:space="preserve">Reference Link: </w:t>
      </w:r>
      <w:hyperlink r:id="rId37" w:history="1">
        <w:r w:rsidRPr="00470480">
          <w:rPr>
            <w:rStyle w:val="Hyperlink"/>
            <w:rFonts w:ascii="Arial" w:hAnsi="Arial" w:cs="Arial"/>
            <w:sz w:val="20"/>
            <w:szCs w:val="20"/>
          </w:rPr>
          <w:t>https://www.rbi.org.in/Scripts/NotificationUser.aspx?Id=12344&amp;Mode=0</w:t>
        </w:r>
      </w:hyperlink>
    </w:p>
    <w:p w:rsidR="00B73361" w:rsidRPr="00470480" w:rsidRDefault="00B73361"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sz w:val="20"/>
          <w:szCs w:val="20"/>
        </w:rPr>
      </w:pPr>
    </w:p>
    <w:p w:rsidR="008C7A02" w:rsidRPr="00470480" w:rsidRDefault="008C7A02" w:rsidP="008C7A02">
      <w:pPr>
        <w:jc w:val="both"/>
        <w:rPr>
          <w:rFonts w:ascii="Arial" w:hAnsi="Arial" w:cs="Arial"/>
          <w:b/>
          <w:bCs/>
          <w:color w:val="000000"/>
          <w:sz w:val="20"/>
          <w:szCs w:val="20"/>
        </w:rPr>
      </w:pPr>
      <w:r w:rsidRPr="00470480">
        <w:rPr>
          <w:rFonts w:ascii="Arial" w:hAnsi="Arial" w:cs="Arial"/>
          <w:b/>
          <w:bCs/>
          <w:color w:val="000000"/>
          <w:sz w:val="20"/>
          <w:szCs w:val="20"/>
        </w:rPr>
        <w:t>Extension of timeline for implementation of certain provisions of Master Direction – Credit Card and Debit Card – Issuance and Conduct Directions, 2022</w:t>
      </w:r>
    </w:p>
    <w:p w:rsidR="00594523" w:rsidRPr="00470480" w:rsidRDefault="00594523" w:rsidP="00594523">
      <w:pPr>
        <w:jc w:val="both"/>
        <w:rPr>
          <w:rFonts w:ascii="Arial" w:hAnsi="Arial" w:cs="Arial"/>
          <w:sz w:val="20"/>
          <w:szCs w:val="20"/>
        </w:rPr>
      </w:pPr>
      <w:r w:rsidRPr="00470480">
        <w:rPr>
          <w:rFonts w:ascii="Arial" w:hAnsi="Arial" w:cs="Arial"/>
          <w:sz w:val="20"/>
          <w:szCs w:val="20"/>
        </w:rPr>
        <w:t>RBI/2022-23/74</w:t>
      </w:r>
      <w:r w:rsidRPr="00470480">
        <w:rPr>
          <w:rFonts w:ascii="Arial" w:hAnsi="Arial" w:cs="Arial"/>
          <w:sz w:val="20"/>
          <w:szCs w:val="20"/>
        </w:rPr>
        <w:br/>
        <w:t>DoR.AUT.REC.No.48/24.01.041/2022-23</w:t>
      </w:r>
    </w:p>
    <w:p w:rsidR="00594523" w:rsidRPr="00470480" w:rsidRDefault="00594523" w:rsidP="00594523">
      <w:pPr>
        <w:jc w:val="both"/>
        <w:rPr>
          <w:rFonts w:ascii="Arial" w:hAnsi="Arial" w:cs="Arial"/>
          <w:sz w:val="20"/>
          <w:szCs w:val="20"/>
        </w:rPr>
      </w:pPr>
      <w:r w:rsidRPr="00470480">
        <w:rPr>
          <w:rFonts w:ascii="Arial" w:hAnsi="Arial" w:cs="Arial"/>
          <w:sz w:val="20"/>
          <w:szCs w:val="20"/>
        </w:rPr>
        <w:t>June 21, 2022</w:t>
      </w:r>
    </w:p>
    <w:p w:rsidR="00594523" w:rsidRPr="00470480" w:rsidRDefault="00594523" w:rsidP="00594523">
      <w:pPr>
        <w:jc w:val="both"/>
        <w:rPr>
          <w:rFonts w:ascii="Arial" w:hAnsi="Arial" w:cs="Arial"/>
          <w:sz w:val="20"/>
          <w:szCs w:val="20"/>
        </w:rPr>
      </w:pPr>
      <w:r w:rsidRPr="00470480">
        <w:rPr>
          <w:rFonts w:ascii="Arial" w:hAnsi="Arial" w:cs="Arial"/>
          <w:sz w:val="20"/>
          <w:szCs w:val="20"/>
        </w:rPr>
        <w:t>All Scheduled Banks (excluding Payments Banks/State Co-operative Banks and District Central Co-operative Banks)</w:t>
      </w:r>
      <w:r w:rsidRPr="00470480">
        <w:rPr>
          <w:rFonts w:ascii="Arial" w:hAnsi="Arial" w:cs="Arial"/>
          <w:sz w:val="20"/>
          <w:szCs w:val="20"/>
        </w:rPr>
        <w:br/>
        <w:t>All Non-Banking Financial Companies (NBFCs)</w:t>
      </w:r>
    </w:p>
    <w:p w:rsidR="00594523" w:rsidRPr="00470480" w:rsidRDefault="00594523" w:rsidP="00594523">
      <w:pPr>
        <w:jc w:val="both"/>
        <w:rPr>
          <w:rFonts w:ascii="Arial" w:hAnsi="Arial" w:cs="Arial"/>
          <w:sz w:val="20"/>
          <w:szCs w:val="20"/>
        </w:rPr>
      </w:pPr>
      <w:r w:rsidRPr="00470480">
        <w:rPr>
          <w:rFonts w:ascii="Arial" w:hAnsi="Arial" w:cs="Arial"/>
          <w:sz w:val="20"/>
          <w:szCs w:val="20"/>
        </w:rPr>
        <w:t>Madam/Dear Sir</w:t>
      </w:r>
    </w:p>
    <w:p w:rsidR="00594523" w:rsidRPr="00470480" w:rsidRDefault="00594523" w:rsidP="00594523">
      <w:pPr>
        <w:jc w:val="both"/>
        <w:rPr>
          <w:rFonts w:ascii="Arial" w:hAnsi="Arial" w:cs="Arial"/>
          <w:b/>
          <w:bCs/>
          <w:sz w:val="20"/>
          <w:szCs w:val="20"/>
        </w:rPr>
      </w:pPr>
      <w:r w:rsidRPr="00470480">
        <w:rPr>
          <w:rFonts w:ascii="Arial" w:hAnsi="Arial" w:cs="Arial"/>
          <w:b/>
          <w:bCs/>
          <w:sz w:val="20"/>
          <w:szCs w:val="20"/>
        </w:rPr>
        <w:t>Extension of timeline for implementation of certain provisions of Master Direction – Credit</w:t>
      </w:r>
      <w:r w:rsidRPr="00470480">
        <w:rPr>
          <w:rFonts w:ascii="Arial" w:hAnsi="Arial" w:cs="Arial"/>
          <w:b/>
          <w:bCs/>
          <w:sz w:val="20"/>
          <w:szCs w:val="20"/>
        </w:rPr>
        <w:br/>
        <w:t>Card and Debit Card – Issuance and Conduct Directions, 2022</w:t>
      </w:r>
    </w:p>
    <w:p w:rsidR="00594523" w:rsidRPr="00470480" w:rsidRDefault="00594523" w:rsidP="00594523">
      <w:pPr>
        <w:jc w:val="both"/>
        <w:rPr>
          <w:rFonts w:ascii="Arial" w:hAnsi="Arial" w:cs="Arial"/>
          <w:sz w:val="20"/>
          <w:szCs w:val="20"/>
        </w:rPr>
      </w:pPr>
      <w:r w:rsidRPr="00470480">
        <w:rPr>
          <w:rFonts w:ascii="Arial" w:hAnsi="Arial" w:cs="Arial"/>
          <w:sz w:val="20"/>
          <w:szCs w:val="20"/>
        </w:rPr>
        <w:t>Please refer to paragraph 1 (b) of the </w:t>
      </w:r>
      <w:hyperlink r:id="rId38" w:tgtFrame="_blank" w:history="1">
        <w:r w:rsidRPr="00470480">
          <w:rPr>
            <w:rStyle w:val="Hyperlink"/>
            <w:rFonts w:ascii="Arial" w:hAnsi="Arial" w:cs="Arial"/>
            <w:sz w:val="20"/>
            <w:szCs w:val="20"/>
          </w:rPr>
          <w:t>Master Direction – Credit Card and Debit Card – Issuance and Conduct Directions, 2022</w:t>
        </w:r>
      </w:hyperlink>
      <w:r w:rsidRPr="00470480">
        <w:rPr>
          <w:rFonts w:ascii="Arial" w:hAnsi="Arial" w:cs="Arial"/>
          <w:sz w:val="20"/>
          <w:szCs w:val="20"/>
        </w:rPr>
        <w:t> (“Master Direction”) dated April 21, 2022, wherein the Reserve Bank had prescribed a timeline of July 01, 2022, for implementation of the provisions of the Master Direction.</w:t>
      </w:r>
    </w:p>
    <w:p w:rsidR="00594523" w:rsidRPr="00470480" w:rsidRDefault="00594523" w:rsidP="00594523">
      <w:pPr>
        <w:jc w:val="both"/>
        <w:rPr>
          <w:rFonts w:ascii="Arial" w:hAnsi="Arial" w:cs="Arial"/>
          <w:sz w:val="20"/>
          <w:szCs w:val="20"/>
        </w:rPr>
      </w:pPr>
      <w:r w:rsidRPr="00470480">
        <w:rPr>
          <w:rFonts w:ascii="Arial" w:hAnsi="Arial" w:cs="Arial"/>
          <w:sz w:val="20"/>
          <w:szCs w:val="20"/>
        </w:rPr>
        <w:t>2. Considering various representations received from the industry stakeholders, it has been decided to extend the timeline for implementation of the following provisions of the Master Direction to October 01, 2022:</w:t>
      </w:r>
    </w:p>
    <w:p w:rsidR="00594523" w:rsidRPr="00470480" w:rsidRDefault="00594523" w:rsidP="00421545">
      <w:pPr>
        <w:numPr>
          <w:ilvl w:val="0"/>
          <w:numId w:val="2"/>
        </w:numPr>
        <w:jc w:val="both"/>
        <w:rPr>
          <w:rFonts w:ascii="Arial" w:hAnsi="Arial" w:cs="Arial"/>
          <w:sz w:val="20"/>
          <w:szCs w:val="20"/>
        </w:rPr>
      </w:pPr>
      <w:r w:rsidRPr="00470480">
        <w:rPr>
          <w:rFonts w:ascii="Arial" w:hAnsi="Arial" w:cs="Arial"/>
          <w:sz w:val="20"/>
          <w:szCs w:val="20"/>
          <w:u w:val="single"/>
        </w:rPr>
        <w:t>Paragraph 6(a)(vi)</w:t>
      </w:r>
      <w:r w:rsidRPr="00470480">
        <w:rPr>
          <w:rFonts w:ascii="Arial" w:hAnsi="Arial" w:cs="Arial"/>
          <w:sz w:val="20"/>
          <w:szCs w:val="20"/>
        </w:rPr>
        <w:t> - Card-issuers shall seek One Time Password (OTP) based consent from the cardholder for activating a credit card, if the same has not been activated by the customer for more than 30 days from the date of issuance. If no consent is received for activating the card, card-issuers shall close the credit card account without any cost to the customer within seven working days from date of seeking confirmation from the customer.</w:t>
      </w:r>
    </w:p>
    <w:p w:rsidR="00594523" w:rsidRPr="00470480" w:rsidRDefault="00594523" w:rsidP="00421545">
      <w:pPr>
        <w:numPr>
          <w:ilvl w:val="0"/>
          <w:numId w:val="2"/>
        </w:numPr>
        <w:jc w:val="both"/>
        <w:rPr>
          <w:rFonts w:ascii="Arial" w:hAnsi="Arial" w:cs="Arial"/>
          <w:sz w:val="20"/>
          <w:szCs w:val="20"/>
        </w:rPr>
      </w:pPr>
      <w:r w:rsidRPr="00470480">
        <w:rPr>
          <w:rFonts w:ascii="Arial" w:hAnsi="Arial" w:cs="Arial"/>
          <w:sz w:val="20"/>
          <w:szCs w:val="20"/>
          <w:u w:val="single"/>
        </w:rPr>
        <w:t>Paragraph 6(b)(v)</w:t>
      </w:r>
      <w:r w:rsidRPr="00470480">
        <w:rPr>
          <w:rFonts w:ascii="Arial" w:hAnsi="Arial" w:cs="Arial"/>
          <w:sz w:val="20"/>
          <w:szCs w:val="20"/>
        </w:rPr>
        <w:t> - Card-issuers shall ensure that the credit limit as sanctioned and advised to the cardholder is not breached at any point in time without seeking explicit consent from the cardholder.</w:t>
      </w:r>
    </w:p>
    <w:p w:rsidR="00594523" w:rsidRPr="00470480" w:rsidRDefault="00594523" w:rsidP="00421545">
      <w:pPr>
        <w:numPr>
          <w:ilvl w:val="0"/>
          <w:numId w:val="2"/>
        </w:numPr>
        <w:jc w:val="both"/>
        <w:rPr>
          <w:rFonts w:ascii="Arial" w:hAnsi="Arial" w:cs="Arial"/>
          <w:sz w:val="20"/>
          <w:szCs w:val="20"/>
        </w:rPr>
      </w:pPr>
      <w:r w:rsidRPr="00470480">
        <w:rPr>
          <w:rFonts w:ascii="Arial" w:hAnsi="Arial" w:cs="Arial"/>
          <w:sz w:val="20"/>
          <w:szCs w:val="20"/>
          <w:u w:val="single"/>
        </w:rPr>
        <w:t>Paragraph 9(b)(ii)</w:t>
      </w:r>
      <w:r w:rsidRPr="00470480">
        <w:rPr>
          <w:rFonts w:ascii="Arial" w:hAnsi="Arial" w:cs="Arial"/>
          <w:sz w:val="20"/>
          <w:szCs w:val="20"/>
        </w:rPr>
        <w:t> - No capitalization of unpaid charges/levies/taxes for charging/ compounding of interest.</w:t>
      </w:r>
    </w:p>
    <w:p w:rsidR="00594523" w:rsidRPr="00470480" w:rsidRDefault="00594523" w:rsidP="00594523">
      <w:pPr>
        <w:jc w:val="both"/>
        <w:rPr>
          <w:rFonts w:ascii="Arial" w:hAnsi="Arial" w:cs="Arial"/>
          <w:sz w:val="20"/>
          <w:szCs w:val="20"/>
        </w:rPr>
      </w:pPr>
      <w:r w:rsidRPr="00470480">
        <w:rPr>
          <w:rFonts w:ascii="Arial" w:hAnsi="Arial" w:cs="Arial"/>
          <w:sz w:val="20"/>
          <w:szCs w:val="20"/>
        </w:rPr>
        <w:t>3. The stipulated timeline for implementation of rest of the provisions of the Master Direction remains unchanged.</w:t>
      </w:r>
    </w:p>
    <w:p w:rsidR="00594523" w:rsidRPr="00470480" w:rsidRDefault="00594523" w:rsidP="00594523">
      <w:pPr>
        <w:jc w:val="both"/>
        <w:rPr>
          <w:rFonts w:ascii="Arial" w:hAnsi="Arial" w:cs="Arial"/>
          <w:sz w:val="20"/>
          <w:szCs w:val="20"/>
        </w:rPr>
      </w:pPr>
      <w:r w:rsidRPr="00470480">
        <w:rPr>
          <w:rFonts w:ascii="Arial" w:hAnsi="Arial" w:cs="Arial"/>
          <w:sz w:val="20"/>
          <w:szCs w:val="20"/>
        </w:rPr>
        <w:t>Yours faithfully</w:t>
      </w:r>
    </w:p>
    <w:p w:rsidR="00594523" w:rsidRPr="00470480" w:rsidRDefault="00594523" w:rsidP="00594523">
      <w:pPr>
        <w:rPr>
          <w:rFonts w:ascii="Arial" w:hAnsi="Arial" w:cs="Arial"/>
          <w:sz w:val="20"/>
          <w:szCs w:val="20"/>
        </w:rPr>
      </w:pPr>
      <w:r w:rsidRPr="00470480">
        <w:rPr>
          <w:rFonts w:ascii="Arial" w:hAnsi="Arial" w:cs="Arial"/>
          <w:b/>
          <w:bCs/>
          <w:sz w:val="20"/>
          <w:szCs w:val="20"/>
        </w:rPr>
        <w:t xml:space="preserve">(Prakash </w:t>
      </w:r>
      <w:proofErr w:type="spellStart"/>
      <w:r w:rsidRPr="00470480">
        <w:rPr>
          <w:rFonts w:ascii="Arial" w:hAnsi="Arial" w:cs="Arial"/>
          <w:b/>
          <w:bCs/>
          <w:sz w:val="20"/>
          <w:szCs w:val="20"/>
        </w:rPr>
        <w:t>Baliarsingh</w:t>
      </w:r>
      <w:proofErr w:type="spellEnd"/>
      <w:r w:rsidRPr="00470480">
        <w:rPr>
          <w:rFonts w:ascii="Arial" w:hAnsi="Arial" w:cs="Arial"/>
          <w:b/>
          <w:bCs/>
          <w:sz w:val="20"/>
          <w:szCs w:val="20"/>
        </w:rPr>
        <w:t>)</w:t>
      </w:r>
      <w:r w:rsidRPr="00470480">
        <w:rPr>
          <w:rFonts w:ascii="Arial" w:hAnsi="Arial" w:cs="Arial"/>
          <w:sz w:val="20"/>
          <w:szCs w:val="20"/>
        </w:rPr>
        <w:br/>
        <w:t>Chief General Manager</w:t>
      </w:r>
    </w:p>
    <w:p w:rsidR="00AC68C8" w:rsidRDefault="00AC68C8" w:rsidP="008C7A02">
      <w:pPr>
        <w:jc w:val="both"/>
        <w:rPr>
          <w:rFonts w:ascii="Arial" w:hAnsi="Arial" w:cs="Arial"/>
          <w:sz w:val="20"/>
          <w:szCs w:val="20"/>
        </w:rPr>
      </w:pPr>
    </w:p>
    <w:p w:rsidR="00AC68C8" w:rsidRDefault="00AC68C8" w:rsidP="008C7A02">
      <w:pPr>
        <w:jc w:val="both"/>
        <w:rPr>
          <w:rFonts w:ascii="Arial" w:hAnsi="Arial" w:cs="Arial"/>
          <w:sz w:val="20"/>
          <w:szCs w:val="20"/>
        </w:rPr>
      </w:pPr>
    </w:p>
    <w:p w:rsidR="008C7A02" w:rsidRPr="00470480" w:rsidRDefault="00B73361" w:rsidP="008C7A02">
      <w:pPr>
        <w:jc w:val="both"/>
        <w:rPr>
          <w:rFonts w:ascii="Arial" w:hAnsi="Arial" w:cs="Arial"/>
          <w:sz w:val="20"/>
          <w:szCs w:val="20"/>
        </w:rPr>
      </w:pPr>
      <w:r w:rsidRPr="00470480">
        <w:rPr>
          <w:rFonts w:ascii="Arial" w:hAnsi="Arial" w:cs="Arial"/>
          <w:sz w:val="20"/>
          <w:szCs w:val="20"/>
        </w:rPr>
        <w:t xml:space="preserve">Reference Link: </w:t>
      </w:r>
      <w:hyperlink r:id="rId39" w:history="1">
        <w:r w:rsidRPr="00470480">
          <w:rPr>
            <w:rStyle w:val="Hyperlink"/>
            <w:rFonts w:ascii="Arial" w:hAnsi="Arial" w:cs="Arial"/>
            <w:sz w:val="20"/>
            <w:szCs w:val="20"/>
          </w:rPr>
          <w:t>https://www.rbi.org.in/Scripts/NotificationUser.aspx?Id=12342&amp;Mode=0</w:t>
        </w:r>
      </w:hyperlink>
    </w:p>
    <w:p w:rsidR="00B73361" w:rsidRPr="00470480" w:rsidRDefault="00B73361" w:rsidP="008C7A02">
      <w:pPr>
        <w:jc w:val="both"/>
        <w:rPr>
          <w:rFonts w:ascii="Arial" w:hAnsi="Arial" w:cs="Arial"/>
          <w:sz w:val="20"/>
          <w:szCs w:val="20"/>
        </w:rPr>
      </w:pPr>
    </w:p>
    <w:p w:rsidR="00594523" w:rsidRPr="00470480" w:rsidRDefault="00594523" w:rsidP="008C7A02">
      <w:pPr>
        <w:jc w:val="both"/>
        <w:rPr>
          <w:rFonts w:ascii="Arial" w:hAnsi="Arial" w:cs="Arial"/>
          <w:sz w:val="20"/>
          <w:szCs w:val="20"/>
        </w:rPr>
      </w:pPr>
    </w:p>
    <w:p w:rsidR="00594523" w:rsidRPr="00470480" w:rsidRDefault="00594523" w:rsidP="008C7A02">
      <w:pPr>
        <w:jc w:val="both"/>
        <w:rPr>
          <w:rFonts w:ascii="Arial" w:hAnsi="Arial" w:cs="Arial"/>
          <w:sz w:val="20"/>
          <w:szCs w:val="20"/>
        </w:rPr>
      </w:pPr>
    </w:p>
    <w:p w:rsidR="00594523" w:rsidRPr="00470480" w:rsidRDefault="00594523" w:rsidP="008C7A02">
      <w:pPr>
        <w:jc w:val="both"/>
        <w:rPr>
          <w:rFonts w:ascii="Arial" w:hAnsi="Arial" w:cs="Arial"/>
          <w:sz w:val="20"/>
          <w:szCs w:val="20"/>
        </w:rPr>
      </w:pPr>
    </w:p>
    <w:p w:rsidR="00594523" w:rsidRPr="00470480" w:rsidRDefault="00594523" w:rsidP="008C7A02">
      <w:pPr>
        <w:jc w:val="both"/>
        <w:rPr>
          <w:rFonts w:ascii="Arial" w:hAnsi="Arial" w:cs="Arial"/>
          <w:sz w:val="20"/>
          <w:szCs w:val="20"/>
        </w:rPr>
      </w:pPr>
    </w:p>
    <w:p w:rsidR="00594523" w:rsidRPr="00470480" w:rsidRDefault="00594523" w:rsidP="008C7A02">
      <w:pPr>
        <w:jc w:val="both"/>
        <w:rPr>
          <w:rFonts w:ascii="Arial" w:hAnsi="Arial" w:cs="Arial"/>
          <w:sz w:val="20"/>
          <w:szCs w:val="20"/>
        </w:rPr>
      </w:pPr>
    </w:p>
    <w:p w:rsidR="00594523" w:rsidRPr="00470480" w:rsidRDefault="00594523" w:rsidP="008C7A02">
      <w:pPr>
        <w:jc w:val="both"/>
        <w:rPr>
          <w:rFonts w:ascii="Arial" w:hAnsi="Arial" w:cs="Arial"/>
          <w:b/>
          <w:bCs/>
          <w:color w:val="000000"/>
          <w:sz w:val="20"/>
          <w:szCs w:val="20"/>
        </w:rPr>
      </w:pPr>
      <w:r w:rsidRPr="00470480">
        <w:rPr>
          <w:rFonts w:ascii="Arial" w:hAnsi="Arial" w:cs="Arial"/>
          <w:b/>
          <w:bCs/>
          <w:color w:val="000000"/>
          <w:sz w:val="20"/>
          <w:szCs w:val="20"/>
        </w:rPr>
        <w:t>Processing of e-mandates for recurring transactions</w:t>
      </w:r>
    </w:p>
    <w:p w:rsidR="00594523" w:rsidRPr="00470480" w:rsidRDefault="00594523" w:rsidP="00594523">
      <w:pPr>
        <w:jc w:val="both"/>
        <w:rPr>
          <w:rFonts w:ascii="Arial" w:hAnsi="Arial" w:cs="Arial"/>
          <w:sz w:val="20"/>
          <w:szCs w:val="20"/>
        </w:rPr>
      </w:pPr>
      <w:r w:rsidRPr="00470480">
        <w:rPr>
          <w:rFonts w:ascii="Arial" w:hAnsi="Arial" w:cs="Arial"/>
          <w:sz w:val="20"/>
          <w:szCs w:val="20"/>
        </w:rPr>
        <w:t>RBI/2022-23/73</w:t>
      </w:r>
      <w:r w:rsidRPr="00470480">
        <w:rPr>
          <w:rFonts w:ascii="Arial" w:hAnsi="Arial" w:cs="Arial"/>
          <w:sz w:val="20"/>
          <w:szCs w:val="20"/>
        </w:rPr>
        <w:br/>
        <w:t>CO.DPSS.POLC.No.S-518/02.14.003/2022-23</w:t>
      </w:r>
    </w:p>
    <w:p w:rsidR="00594523" w:rsidRPr="00470480" w:rsidRDefault="00594523" w:rsidP="00594523">
      <w:pPr>
        <w:jc w:val="both"/>
        <w:rPr>
          <w:rFonts w:ascii="Arial" w:hAnsi="Arial" w:cs="Arial"/>
          <w:sz w:val="20"/>
          <w:szCs w:val="20"/>
        </w:rPr>
      </w:pPr>
      <w:r w:rsidRPr="00470480">
        <w:rPr>
          <w:rFonts w:ascii="Arial" w:hAnsi="Arial" w:cs="Arial"/>
          <w:sz w:val="20"/>
          <w:szCs w:val="20"/>
        </w:rPr>
        <w:t>June 16, 2022</w:t>
      </w:r>
    </w:p>
    <w:p w:rsidR="00594523" w:rsidRPr="00470480" w:rsidRDefault="00594523" w:rsidP="00594523">
      <w:pPr>
        <w:rPr>
          <w:rFonts w:ascii="Arial" w:hAnsi="Arial" w:cs="Arial"/>
          <w:sz w:val="20"/>
          <w:szCs w:val="20"/>
        </w:rPr>
      </w:pPr>
      <w:r w:rsidRPr="00470480">
        <w:rPr>
          <w:rFonts w:ascii="Arial" w:hAnsi="Arial" w:cs="Arial"/>
          <w:sz w:val="20"/>
          <w:szCs w:val="20"/>
        </w:rPr>
        <w:t>The Chairman / Managing Director / Chief Executive Officer</w:t>
      </w:r>
      <w:r w:rsidRPr="00470480">
        <w:rPr>
          <w:rFonts w:ascii="Arial" w:hAnsi="Arial" w:cs="Arial"/>
          <w:sz w:val="20"/>
          <w:szCs w:val="20"/>
        </w:rPr>
        <w:br/>
        <w:t>All Scheduled Commercial Banks, including Regional Rural Banks /</w:t>
      </w:r>
      <w:r w:rsidRPr="00470480">
        <w:rPr>
          <w:rFonts w:ascii="Arial" w:hAnsi="Arial" w:cs="Arial"/>
          <w:sz w:val="20"/>
          <w:szCs w:val="20"/>
        </w:rPr>
        <w:br/>
        <w:t>Urban Co-operative Banks / State Co-operative Banks /</w:t>
      </w:r>
      <w:r w:rsidRPr="00470480">
        <w:rPr>
          <w:rFonts w:ascii="Arial" w:hAnsi="Arial" w:cs="Arial"/>
          <w:sz w:val="20"/>
          <w:szCs w:val="20"/>
        </w:rPr>
        <w:br/>
        <w:t>District Central Co-operative Banks / Payments Banks /</w:t>
      </w:r>
      <w:r w:rsidRPr="00470480">
        <w:rPr>
          <w:rFonts w:ascii="Arial" w:hAnsi="Arial" w:cs="Arial"/>
          <w:sz w:val="20"/>
          <w:szCs w:val="20"/>
        </w:rPr>
        <w:br/>
        <w:t>Small Finance Banks / Local Area Banks /</w:t>
      </w:r>
      <w:r w:rsidRPr="00470480">
        <w:rPr>
          <w:rFonts w:ascii="Arial" w:hAnsi="Arial" w:cs="Arial"/>
          <w:sz w:val="20"/>
          <w:szCs w:val="20"/>
        </w:rPr>
        <w:br/>
        <w:t>Non-bank Prepaid Payment Instrument Issuers / Authorised Card Payment Networks /</w:t>
      </w:r>
      <w:r w:rsidRPr="00470480">
        <w:rPr>
          <w:rFonts w:ascii="Arial" w:hAnsi="Arial" w:cs="Arial"/>
          <w:sz w:val="20"/>
          <w:szCs w:val="20"/>
        </w:rPr>
        <w:br/>
        <w:t>National Payments Corporation of India</w:t>
      </w:r>
    </w:p>
    <w:p w:rsidR="00594523" w:rsidRPr="00470480" w:rsidRDefault="00594523" w:rsidP="00594523">
      <w:pPr>
        <w:jc w:val="both"/>
        <w:rPr>
          <w:rFonts w:ascii="Arial" w:hAnsi="Arial" w:cs="Arial"/>
          <w:sz w:val="20"/>
          <w:szCs w:val="20"/>
        </w:rPr>
      </w:pPr>
      <w:r w:rsidRPr="00470480">
        <w:rPr>
          <w:rFonts w:ascii="Arial" w:hAnsi="Arial" w:cs="Arial"/>
          <w:sz w:val="20"/>
          <w:szCs w:val="20"/>
        </w:rPr>
        <w:t>Madam / Dear Sir,</w:t>
      </w:r>
    </w:p>
    <w:p w:rsidR="00594523" w:rsidRPr="00470480" w:rsidRDefault="00594523" w:rsidP="00594523">
      <w:pPr>
        <w:jc w:val="both"/>
        <w:rPr>
          <w:rFonts w:ascii="Arial" w:hAnsi="Arial" w:cs="Arial"/>
          <w:b/>
          <w:bCs/>
          <w:sz w:val="20"/>
          <w:szCs w:val="20"/>
        </w:rPr>
      </w:pPr>
      <w:r w:rsidRPr="00470480">
        <w:rPr>
          <w:rFonts w:ascii="Arial" w:hAnsi="Arial" w:cs="Arial"/>
          <w:b/>
          <w:bCs/>
          <w:sz w:val="20"/>
          <w:szCs w:val="20"/>
        </w:rPr>
        <w:t>Processing of e-mandates for recurring transactions</w:t>
      </w:r>
    </w:p>
    <w:p w:rsidR="00594523" w:rsidRPr="00470480" w:rsidRDefault="00594523" w:rsidP="00594523">
      <w:pPr>
        <w:jc w:val="both"/>
        <w:rPr>
          <w:rFonts w:ascii="Arial" w:hAnsi="Arial" w:cs="Arial"/>
          <w:sz w:val="20"/>
          <w:szCs w:val="20"/>
        </w:rPr>
      </w:pPr>
      <w:r w:rsidRPr="00470480">
        <w:rPr>
          <w:rFonts w:ascii="Arial" w:hAnsi="Arial" w:cs="Arial"/>
          <w:sz w:val="20"/>
          <w:szCs w:val="20"/>
        </w:rPr>
        <w:t>A reference is invited to our circulars </w:t>
      </w:r>
      <w:hyperlink r:id="rId40" w:tgtFrame="_blank" w:history="1">
        <w:r w:rsidRPr="00470480">
          <w:rPr>
            <w:rStyle w:val="Hyperlink"/>
            <w:rFonts w:ascii="Arial" w:hAnsi="Arial" w:cs="Arial"/>
            <w:sz w:val="20"/>
            <w:szCs w:val="20"/>
          </w:rPr>
          <w:t>DPSS.CO.PD.No.447/02.14.003/2019-20 dated August 21, 2019</w:t>
        </w:r>
      </w:hyperlink>
      <w:r w:rsidRPr="00470480">
        <w:rPr>
          <w:rFonts w:ascii="Arial" w:hAnsi="Arial" w:cs="Arial"/>
          <w:sz w:val="20"/>
          <w:szCs w:val="20"/>
        </w:rPr>
        <w:t>, </w:t>
      </w:r>
      <w:hyperlink r:id="rId41" w:tgtFrame="_blank" w:history="1">
        <w:r w:rsidRPr="00470480">
          <w:rPr>
            <w:rStyle w:val="Hyperlink"/>
            <w:rFonts w:ascii="Arial" w:hAnsi="Arial" w:cs="Arial"/>
            <w:sz w:val="20"/>
            <w:szCs w:val="20"/>
          </w:rPr>
          <w:t>DPSS.CO.PD No.1324/02.23.001/2019-20 dated January 10, 2020</w:t>
        </w:r>
      </w:hyperlink>
      <w:r w:rsidRPr="00470480">
        <w:rPr>
          <w:rFonts w:ascii="Arial" w:hAnsi="Arial" w:cs="Arial"/>
          <w:sz w:val="20"/>
          <w:szCs w:val="20"/>
        </w:rPr>
        <w:t>, </w:t>
      </w:r>
      <w:hyperlink r:id="rId42" w:tgtFrame="_blank" w:history="1">
        <w:r w:rsidRPr="00470480">
          <w:rPr>
            <w:rStyle w:val="Hyperlink"/>
            <w:rFonts w:ascii="Arial" w:hAnsi="Arial" w:cs="Arial"/>
            <w:sz w:val="20"/>
            <w:szCs w:val="20"/>
          </w:rPr>
          <w:t>DPSS.CO.PD No.754/02.14.003/2020-21 dated December 04, 2020</w:t>
        </w:r>
      </w:hyperlink>
      <w:r w:rsidRPr="00470480">
        <w:rPr>
          <w:rFonts w:ascii="Arial" w:hAnsi="Arial" w:cs="Arial"/>
          <w:sz w:val="20"/>
          <w:szCs w:val="20"/>
        </w:rPr>
        <w:t> and </w:t>
      </w:r>
      <w:hyperlink r:id="rId43" w:tgtFrame="_blank" w:history="1">
        <w:r w:rsidRPr="00470480">
          <w:rPr>
            <w:rStyle w:val="Hyperlink"/>
            <w:rFonts w:ascii="Arial" w:hAnsi="Arial" w:cs="Arial"/>
            <w:sz w:val="20"/>
            <w:szCs w:val="20"/>
          </w:rPr>
          <w:t>CO.DPSS.POLC.No.S34/02-14-003/2020-2021 dated March 31, 2021</w:t>
        </w:r>
      </w:hyperlink>
      <w:r w:rsidRPr="00470480">
        <w:rPr>
          <w:rFonts w:ascii="Arial" w:hAnsi="Arial" w:cs="Arial"/>
          <w:sz w:val="20"/>
          <w:szCs w:val="20"/>
        </w:rPr>
        <w:t> (collectively referred to as “e-mandate framework”). The e-mandate framework prescribed an Additional Factor of Authentication (AFA), inter alia, while processing the first transaction in case of e-mandates / standing instructions on cards, prepaid payment instruments and Unified Payments Interface. For subsequent transactions with transaction values up to ₹5,000/- (AFA limit), prescription of AFA was waived.</w:t>
      </w:r>
    </w:p>
    <w:p w:rsidR="00594523" w:rsidRPr="00470480" w:rsidRDefault="00594523" w:rsidP="00594523">
      <w:pPr>
        <w:jc w:val="both"/>
        <w:rPr>
          <w:rFonts w:ascii="Arial" w:hAnsi="Arial" w:cs="Arial"/>
          <w:sz w:val="20"/>
          <w:szCs w:val="20"/>
        </w:rPr>
      </w:pPr>
      <w:r w:rsidRPr="00470480">
        <w:rPr>
          <w:rFonts w:ascii="Arial" w:hAnsi="Arial" w:cs="Arial"/>
          <w:sz w:val="20"/>
          <w:szCs w:val="20"/>
        </w:rPr>
        <w:t>2. On a review of implementation of the e-mandate framework and the protection available to customers, it has been decided to increase the aforesaid AFA limit from ₹5,000/- to ₹15,000/- per transaction.</w:t>
      </w:r>
    </w:p>
    <w:p w:rsidR="00594523" w:rsidRPr="00470480" w:rsidRDefault="00594523" w:rsidP="00594523">
      <w:pPr>
        <w:jc w:val="both"/>
        <w:rPr>
          <w:rFonts w:ascii="Arial" w:hAnsi="Arial" w:cs="Arial"/>
          <w:sz w:val="20"/>
          <w:szCs w:val="20"/>
        </w:rPr>
      </w:pPr>
      <w:r w:rsidRPr="00470480">
        <w:rPr>
          <w:rFonts w:ascii="Arial" w:hAnsi="Arial" w:cs="Arial"/>
          <w:sz w:val="20"/>
          <w:szCs w:val="20"/>
        </w:rPr>
        <w:t>3. This circular is issued under Section 10 (2) read with Section 18 of the Payment and Settlement Systems Act, 2007 (Act 51 of 2007), and shall come into effect immediately.</w:t>
      </w:r>
    </w:p>
    <w:p w:rsidR="00594523" w:rsidRPr="00470480" w:rsidRDefault="00594523" w:rsidP="00594523">
      <w:pPr>
        <w:jc w:val="both"/>
        <w:rPr>
          <w:rFonts w:ascii="Arial" w:hAnsi="Arial" w:cs="Arial"/>
          <w:sz w:val="20"/>
          <w:szCs w:val="20"/>
        </w:rPr>
      </w:pPr>
      <w:r w:rsidRPr="00470480">
        <w:rPr>
          <w:rFonts w:ascii="Arial" w:hAnsi="Arial" w:cs="Arial"/>
          <w:sz w:val="20"/>
          <w:szCs w:val="20"/>
        </w:rPr>
        <w:t>Yours faithfully,</w:t>
      </w:r>
    </w:p>
    <w:p w:rsidR="00594523" w:rsidRPr="00470480" w:rsidRDefault="00594523" w:rsidP="00594523">
      <w:pPr>
        <w:rPr>
          <w:rFonts w:ascii="Arial" w:hAnsi="Arial" w:cs="Arial"/>
          <w:sz w:val="20"/>
          <w:szCs w:val="20"/>
        </w:rPr>
      </w:pPr>
      <w:r w:rsidRPr="00470480">
        <w:rPr>
          <w:rFonts w:ascii="Arial" w:hAnsi="Arial" w:cs="Arial"/>
          <w:sz w:val="20"/>
          <w:szCs w:val="20"/>
        </w:rPr>
        <w:t xml:space="preserve">(P. </w:t>
      </w:r>
      <w:proofErr w:type="spellStart"/>
      <w:r w:rsidRPr="00470480">
        <w:rPr>
          <w:rFonts w:ascii="Arial" w:hAnsi="Arial" w:cs="Arial"/>
          <w:sz w:val="20"/>
          <w:szCs w:val="20"/>
        </w:rPr>
        <w:t>Vasudevan</w:t>
      </w:r>
      <w:proofErr w:type="spellEnd"/>
      <w:r w:rsidRPr="00470480">
        <w:rPr>
          <w:rFonts w:ascii="Arial" w:hAnsi="Arial" w:cs="Arial"/>
          <w:sz w:val="20"/>
          <w:szCs w:val="20"/>
        </w:rPr>
        <w:t>)</w:t>
      </w:r>
      <w:r w:rsidRPr="00470480">
        <w:rPr>
          <w:rFonts w:ascii="Arial" w:hAnsi="Arial" w:cs="Arial"/>
          <w:sz w:val="20"/>
          <w:szCs w:val="20"/>
        </w:rPr>
        <w:br/>
        <w:t>Chief General Manager</w:t>
      </w:r>
    </w:p>
    <w:p w:rsidR="00AC68C8" w:rsidRDefault="00AC68C8" w:rsidP="008C7A02">
      <w:pPr>
        <w:jc w:val="both"/>
        <w:rPr>
          <w:rFonts w:ascii="Arial" w:hAnsi="Arial" w:cs="Arial"/>
          <w:sz w:val="20"/>
          <w:szCs w:val="20"/>
        </w:rPr>
      </w:pPr>
    </w:p>
    <w:p w:rsidR="00AC68C8" w:rsidRDefault="00AC68C8" w:rsidP="008C7A02">
      <w:pPr>
        <w:jc w:val="both"/>
        <w:rPr>
          <w:rFonts w:ascii="Arial" w:hAnsi="Arial" w:cs="Arial"/>
          <w:sz w:val="20"/>
          <w:szCs w:val="20"/>
        </w:rPr>
      </w:pPr>
    </w:p>
    <w:p w:rsidR="00594523" w:rsidRPr="00470480" w:rsidRDefault="00B73361" w:rsidP="008C7A02">
      <w:pPr>
        <w:jc w:val="both"/>
        <w:rPr>
          <w:rFonts w:ascii="Arial" w:hAnsi="Arial" w:cs="Arial"/>
          <w:sz w:val="20"/>
          <w:szCs w:val="20"/>
        </w:rPr>
      </w:pPr>
      <w:r w:rsidRPr="00470480">
        <w:rPr>
          <w:rFonts w:ascii="Arial" w:hAnsi="Arial" w:cs="Arial"/>
          <w:sz w:val="20"/>
          <w:szCs w:val="20"/>
        </w:rPr>
        <w:t xml:space="preserve">Reference Link: </w:t>
      </w:r>
      <w:hyperlink r:id="rId44" w:history="1">
        <w:r w:rsidRPr="00470480">
          <w:rPr>
            <w:rStyle w:val="Hyperlink"/>
            <w:rFonts w:ascii="Arial" w:hAnsi="Arial" w:cs="Arial"/>
            <w:sz w:val="20"/>
            <w:szCs w:val="20"/>
          </w:rPr>
          <w:t>https://www.rbi.org.in/Scripts/NotificationUser.aspx?Id=12341&amp;Mode=0</w:t>
        </w:r>
      </w:hyperlink>
    </w:p>
    <w:p w:rsidR="00B73361" w:rsidRPr="00470480" w:rsidRDefault="00B73361" w:rsidP="008C7A02">
      <w:pPr>
        <w:jc w:val="both"/>
        <w:rPr>
          <w:rFonts w:ascii="Arial" w:hAnsi="Arial" w:cs="Arial"/>
          <w:sz w:val="20"/>
          <w:szCs w:val="20"/>
        </w:rPr>
      </w:pPr>
    </w:p>
    <w:p w:rsidR="00B73361" w:rsidRPr="00470480" w:rsidRDefault="00B73361" w:rsidP="008C7A02">
      <w:pPr>
        <w:jc w:val="both"/>
        <w:rPr>
          <w:rFonts w:ascii="Arial" w:hAnsi="Arial" w:cs="Arial"/>
          <w:sz w:val="20"/>
          <w:szCs w:val="20"/>
        </w:rPr>
      </w:pPr>
    </w:p>
    <w:p w:rsidR="00B73361" w:rsidRPr="00470480" w:rsidRDefault="00B73361" w:rsidP="008C7A02">
      <w:pPr>
        <w:jc w:val="both"/>
        <w:rPr>
          <w:rFonts w:ascii="Arial" w:hAnsi="Arial" w:cs="Arial"/>
          <w:sz w:val="20"/>
          <w:szCs w:val="20"/>
        </w:rPr>
      </w:pPr>
    </w:p>
    <w:p w:rsidR="00B73361" w:rsidRPr="00470480" w:rsidRDefault="00B73361" w:rsidP="008C7A02">
      <w:pPr>
        <w:jc w:val="both"/>
        <w:rPr>
          <w:rFonts w:ascii="Arial" w:hAnsi="Arial" w:cs="Arial"/>
          <w:sz w:val="20"/>
          <w:szCs w:val="20"/>
        </w:rPr>
      </w:pPr>
    </w:p>
    <w:p w:rsidR="00B73361" w:rsidRPr="00470480" w:rsidRDefault="00B73361" w:rsidP="008C7A02">
      <w:pPr>
        <w:jc w:val="both"/>
        <w:rPr>
          <w:rFonts w:ascii="Arial" w:hAnsi="Arial" w:cs="Arial"/>
          <w:sz w:val="20"/>
          <w:szCs w:val="20"/>
        </w:rPr>
      </w:pPr>
    </w:p>
    <w:p w:rsidR="00B73361" w:rsidRPr="00470480" w:rsidRDefault="00B73361" w:rsidP="008C7A02">
      <w:pPr>
        <w:jc w:val="both"/>
        <w:rPr>
          <w:rFonts w:ascii="Arial" w:hAnsi="Arial" w:cs="Arial"/>
          <w:b/>
          <w:bCs/>
          <w:color w:val="000000"/>
          <w:sz w:val="20"/>
          <w:szCs w:val="20"/>
        </w:rPr>
      </w:pPr>
    </w:p>
    <w:p w:rsidR="00470480" w:rsidRDefault="00470480" w:rsidP="008C7A02">
      <w:pPr>
        <w:jc w:val="both"/>
        <w:rPr>
          <w:rFonts w:ascii="Arial" w:hAnsi="Arial" w:cs="Arial"/>
          <w:b/>
          <w:bCs/>
          <w:color w:val="000000"/>
          <w:sz w:val="20"/>
          <w:szCs w:val="20"/>
        </w:rPr>
      </w:pPr>
    </w:p>
    <w:p w:rsidR="00470480" w:rsidRDefault="00470480" w:rsidP="008C7A02">
      <w:pPr>
        <w:jc w:val="both"/>
        <w:rPr>
          <w:rFonts w:ascii="Arial" w:hAnsi="Arial" w:cs="Arial"/>
          <w:b/>
          <w:bCs/>
          <w:color w:val="000000"/>
          <w:sz w:val="20"/>
          <w:szCs w:val="20"/>
        </w:rPr>
      </w:pPr>
    </w:p>
    <w:p w:rsidR="00BA70DE" w:rsidRDefault="00BA70DE" w:rsidP="00B73361">
      <w:pPr>
        <w:spacing w:after="0"/>
        <w:jc w:val="both"/>
        <w:rPr>
          <w:rFonts w:ascii="Arial" w:hAnsi="Arial" w:cs="Arial"/>
          <w:b/>
          <w:bCs/>
          <w:color w:val="000000"/>
          <w:sz w:val="20"/>
          <w:szCs w:val="20"/>
        </w:rPr>
      </w:pPr>
    </w:p>
    <w:p w:rsidR="00B73361" w:rsidRPr="00470480" w:rsidRDefault="00B73361" w:rsidP="00B73361">
      <w:pPr>
        <w:spacing w:after="0"/>
        <w:jc w:val="both"/>
        <w:rPr>
          <w:rFonts w:ascii="Arial" w:hAnsi="Arial" w:cs="Arial"/>
          <w:b/>
          <w:bCs/>
          <w:color w:val="000000"/>
          <w:sz w:val="20"/>
          <w:szCs w:val="20"/>
        </w:rPr>
      </w:pPr>
      <w:r w:rsidRPr="00470480">
        <w:rPr>
          <w:rFonts w:ascii="Arial" w:hAnsi="Arial" w:cs="Arial"/>
          <w:b/>
          <w:bCs/>
          <w:color w:val="000000"/>
          <w:sz w:val="20"/>
          <w:szCs w:val="20"/>
        </w:rPr>
        <w:t>Individual Housing loans – Enhancement in limits</w:t>
      </w:r>
    </w:p>
    <w:p w:rsidR="00B73361" w:rsidRPr="00470480" w:rsidRDefault="00B73361" w:rsidP="00B73361">
      <w:pPr>
        <w:spacing w:after="0"/>
        <w:jc w:val="both"/>
        <w:rPr>
          <w:rFonts w:ascii="Arial" w:hAnsi="Arial" w:cs="Arial"/>
          <w:b/>
          <w:bCs/>
          <w:color w:val="000000"/>
          <w:sz w:val="20"/>
          <w:szCs w:val="20"/>
        </w:rPr>
      </w:pPr>
    </w:p>
    <w:p w:rsidR="001E1B5B" w:rsidRPr="00470480" w:rsidRDefault="001E1B5B" w:rsidP="001E1B5B">
      <w:pPr>
        <w:pStyle w:val="NormalWeb"/>
        <w:jc w:val="both"/>
        <w:rPr>
          <w:rFonts w:ascii="Arial" w:hAnsi="Arial" w:cs="Arial"/>
          <w:color w:val="000000"/>
          <w:sz w:val="20"/>
          <w:szCs w:val="20"/>
        </w:rPr>
      </w:pPr>
      <w:r w:rsidRPr="00470480">
        <w:rPr>
          <w:rFonts w:ascii="Arial" w:hAnsi="Arial" w:cs="Arial"/>
          <w:color w:val="000000"/>
          <w:sz w:val="20"/>
          <w:szCs w:val="20"/>
        </w:rPr>
        <w:t>RBI/2022-23/68</w:t>
      </w:r>
      <w:r w:rsidRPr="00470480">
        <w:rPr>
          <w:rFonts w:ascii="Arial" w:hAnsi="Arial" w:cs="Arial"/>
          <w:color w:val="000000"/>
          <w:sz w:val="20"/>
          <w:szCs w:val="20"/>
        </w:rPr>
        <w:br/>
        <w:t>DOR.CRE.REC.42/09.22.010/2022-23</w:t>
      </w:r>
    </w:p>
    <w:p w:rsidR="001E1B5B" w:rsidRPr="00470480" w:rsidRDefault="001E1B5B" w:rsidP="001E1B5B">
      <w:pPr>
        <w:pStyle w:val="NormalWeb"/>
        <w:jc w:val="right"/>
        <w:rPr>
          <w:rFonts w:ascii="Arial" w:hAnsi="Arial" w:cs="Arial"/>
          <w:color w:val="000000"/>
          <w:sz w:val="20"/>
          <w:szCs w:val="20"/>
        </w:rPr>
      </w:pPr>
      <w:r w:rsidRPr="00470480">
        <w:rPr>
          <w:rFonts w:ascii="Arial" w:hAnsi="Arial" w:cs="Arial"/>
          <w:color w:val="000000"/>
          <w:sz w:val="20"/>
          <w:szCs w:val="20"/>
        </w:rPr>
        <w:t>June 08, 2022</w:t>
      </w:r>
    </w:p>
    <w:p w:rsidR="001E1B5B" w:rsidRPr="00470480" w:rsidRDefault="001E1B5B" w:rsidP="001E1B5B">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1E1B5B" w:rsidRPr="00470480" w:rsidRDefault="001E1B5B" w:rsidP="001E1B5B">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1E1B5B" w:rsidRPr="00470480" w:rsidRDefault="001E1B5B" w:rsidP="001E1B5B">
      <w:pPr>
        <w:pStyle w:val="head"/>
        <w:jc w:val="both"/>
        <w:rPr>
          <w:rFonts w:ascii="Arial" w:hAnsi="Arial" w:cs="Arial"/>
          <w:b/>
          <w:bCs/>
          <w:color w:val="000000"/>
          <w:sz w:val="20"/>
          <w:szCs w:val="20"/>
        </w:rPr>
      </w:pPr>
      <w:r w:rsidRPr="00470480">
        <w:rPr>
          <w:rFonts w:ascii="Arial" w:hAnsi="Arial" w:cs="Arial"/>
          <w:b/>
          <w:bCs/>
          <w:color w:val="000000"/>
          <w:sz w:val="20"/>
          <w:szCs w:val="20"/>
        </w:rPr>
        <w:t>Individual Housing loans – Enhancement in limits</w:t>
      </w:r>
    </w:p>
    <w:p w:rsidR="001E1B5B" w:rsidRPr="00470480" w:rsidRDefault="001E1B5B" w:rsidP="001E1B5B">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45" w:tgtFrame="_blank" w:history="1">
        <w:r w:rsidRPr="00470480">
          <w:rPr>
            <w:rStyle w:val="Hyperlink"/>
            <w:rFonts w:ascii="Arial" w:hAnsi="Arial" w:cs="Arial"/>
            <w:sz w:val="20"/>
            <w:szCs w:val="20"/>
          </w:rPr>
          <w:t>circular UBD.BPD.(PCB). Cir.No.7/09.22.010/2011-12 dated October 31, 2011</w:t>
        </w:r>
      </w:hyperlink>
      <w:r w:rsidRPr="00470480">
        <w:rPr>
          <w:rFonts w:ascii="Arial" w:hAnsi="Arial" w:cs="Arial"/>
          <w:color w:val="000000"/>
          <w:sz w:val="20"/>
          <w:szCs w:val="20"/>
        </w:rPr>
        <w:t> on the above subject.</w:t>
      </w:r>
    </w:p>
    <w:p w:rsidR="001E1B5B" w:rsidRPr="00470480" w:rsidRDefault="001E1B5B" w:rsidP="001E1B5B">
      <w:pPr>
        <w:pStyle w:val="NormalWeb"/>
        <w:jc w:val="both"/>
        <w:rPr>
          <w:rFonts w:ascii="Arial" w:hAnsi="Arial" w:cs="Arial"/>
          <w:color w:val="000000"/>
          <w:sz w:val="20"/>
          <w:szCs w:val="20"/>
        </w:rPr>
      </w:pPr>
      <w:r w:rsidRPr="00470480">
        <w:rPr>
          <w:rFonts w:ascii="Arial" w:hAnsi="Arial" w:cs="Arial"/>
          <w:color w:val="000000"/>
          <w:sz w:val="20"/>
          <w:szCs w:val="20"/>
        </w:rPr>
        <w:t>2. As announced in the </w:t>
      </w:r>
      <w:hyperlink r:id="rId46"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w:t>
      </w:r>
      <w:hyperlink r:id="rId47" w:anchor="EXTRACT" w:history="1">
        <w:r w:rsidRPr="00470480">
          <w:rPr>
            <w:rStyle w:val="Hyperlink"/>
            <w:rFonts w:ascii="Arial" w:hAnsi="Arial" w:cs="Arial"/>
            <w:sz w:val="20"/>
            <w:szCs w:val="20"/>
          </w:rPr>
          <w:t>para no.1 annexed</w:t>
        </w:r>
      </w:hyperlink>
      <w:r w:rsidRPr="00470480">
        <w:rPr>
          <w:rFonts w:ascii="Arial" w:hAnsi="Arial" w:cs="Arial"/>
          <w:color w:val="000000"/>
          <w:sz w:val="20"/>
          <w:szCs w:val="20"/>
        </w:rPr>
        <w:t>), it has been decided to revise the limits on individual housing loans sanctioned by urban co-operative banks to an individual borrower as under:</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740"/>
        <w:gridCol w:w="2234"/>
        <w:gridCol w:w="2234"/>
      </w:tblGrid>
      <w:tr w:rsidR="001E1B5B" w:rsidRPr="00470480" w:rsidTr="001E1B5B">
        <w:trPr>
          <w:jc w:val="center"/>
        </w:trPr>
        <w:tc>
          <w:tcPr>
            <w:tcW w:w="1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pPr>
              <w:jc w:val="center"/>
              <w:rPr>
                <w:rFonts w:ascii="Arial" w:hAnsi="Arial" w:cs="Arial"/>
                <w:b/>
                <w:bCs/>
                <w:color w:val="000000"/>
                <w:sz w:val="20"/>
                <w:szCs w:val="20"/>
              </w:rPr>
            </w:pPr>
            <w:r w:rsidRPr="00470480">
              <w:rPr>
                <w:rFonts w:ascii="Arial" w:hAnsi="Arial" w:cs="Arial"/>
                <w:b/>
                <w:bCs/>
                <w:color w:val="000000"/>
                <w:sz w:val="20"/>
                <w:szCs w:val="20"/>
              </w:rPr>
              <w:t>Category of the bank</w:t>
            </w:r>
          </w:p>
        </w:tc>
        <w:tc>
          <w:tcPr>
            <w:tcW w:w="1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pPr>
              <w:jc w:val="center"/>
              <w:rPr>
                <w:rFonts w:ascii="Arial" w:hAnsi="Arial" w:cs="Arial"/>
                <w:b/>
                <w:bCs/>
                <w:color w:val="000000"/>
                <w:sz w:val="20"/>
                <w:szCs w:val="20"/>
              </w:rPr>
            </w:pPr>
            <w:r w:rsidRPr="00470480">
              <w:rPr>
                <w:rFonts w:ascii="Arial" w:hAnsi="Arial" w:cs="Arial"/>
                <w:b/>
                <w:bCs/>
                <w:color w:val="000000"/>
                <w:sz w:val="20"/>
                <w:szCs w:val="20"/>
              </w:rPr>
              <w:t>Existing Limit*</w:t>
            </w:r>
            <w:r w:rsidRPr="00470480">
              <w:rPr>
                <w:rFonts w:ascii="Arial" w:hAnsi="Arial" w:cs="Arial"/>
                <w:b/>
                <w:bCs/>
                <w:color w:val="000000"/>
                <w:sz w:val="20"/>
                <w:szCs w:val="20"/>
              </w:rPr>
              <w:br/>
              <w:t>(per individual borrower)</w:t>
            </w:r>
          </w:p>
        </w:tc>
        <w:tc>
          <w:tcPr>
            <w:tcW w:w="1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pPr>
              <w:jc w:val="center"/>
              <w:rPr>
                <w:rFonts w:ascii="Arial" w:hAnsi="Arial" w:cs="Arial"/>
                <w:b/>
                <w:bCs/>
                <w:color w:val="000000"/>
                <w:sz w:val="20"/>
                <w:szCs w:val="20"/>
              </w:rPr>
            </w:pPr>
            <w:r w:rsidRPr="00470480">
              <w:rPr>
                <w:rFonts w:ascii="Arial" w:hAnsi="Arial" w:cs="Arial"/>
                <w:b/>
                <w:bCs/>
                <w:color w:val="000000"/>
                <w:sz w:val="20"/>
                <w:szCs w:val="20"/>
              </w:rPr>
              <w:t>Revised Limit*</w:t>
            </w:r>
            <w:r w:rsidRPr="00470480">
              <w:rPr>
                <w:rFonts w:ascii="Arial" w:hAnsi="Arial" w:cs="Arial"/>
                <w:b/>
                <w:bCs/>
                <w:color w:val="000000"/>
                <w:sz w:val="20"/>
                <w:szCs w:val="20"/>
              </w:rPr>
              <w:br/>
              <w:t>(per individual borrower)</w:t>
            </w:r>
          </w:p>
        </w:tc>
      </w:tr>
      <w:tr w:rsidR="001E1B5B" w:rsidRPr="00470480" w:rsidTr="001E1B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pPr>
              <w:jc w:val="both"/>
              <w:rPr>
                <w:rFonts w:ascii="Arial" w:hAnsi="Arial" w:cs="Arial"/>
                <w:color w:val="000000"/>
                <w:sz w:val="20"/>
                <w:szCs w:val="20"/>
              </w:rPr>
            </w:pPr>
            <w:r w:rsidRPr="00470480">
              <w:rPr>
                <w:rFonts w:ascii="Arial" w:hAnsi="Arial" w:cs="Arial"/>
                <w:color w:val="000000"/>
                <w:sz w:val="20"/>
                <w:szCs w:val="20"/>
              </w:rPr>
              <w:t>(a) Tier-I UCBs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pPr>
              <w:jc w:val="center"/>
              <w:rPr>
                <w:rFonts w:ascii="Arial" w:hAnsi="Arial" w:cs="Arial"/>
                <w:color w:val="000000"/>
                <w:sz w:val="20"/>
                <w:szCs w:val="20"/>
              </w:rPr>
            </w:pPr>
            <w:r w:rsidRPr="00470480">
              <w:rPr>
                <w:rFonts w:ascii="Arial" w:hAnsi="Arial" w:cs="Arial"/>
                <w:color w:val="000000"/>
                <w:sz w:val="20"/>
                <w:szCs w:val="20"/>
              </w:rPr>
              <w:t>₹30 lakh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pPr>
              <w:jc w:val="center"/>
              <w:rPr>
                <w:rFonts w:ascii="Arial" w:hAnsi="Arial" w:cs="Arial"/>
                <w:color w:val="000000"/>
                <w:sz w:val="20"/>
                <w:szCs w:val="20"/>
              </w:rPr>
            </w:pPr>
            <w:r w:rsidRPr="00470480">
              <w:rPr>
                <w:rFonts w:ascii="Arial" w:hAnsi="Arial" w:cs="Arial"/>
                <w:color w:val="000000"/>
                <w:sz w:val="20"/>
                <w:szCs w:val="20"/>
              </w:rPr>
              <w:t>₹60 lakh</w:t>
            </w:r>
          </w:p>
        </w:tc>
      </w:tr>
      <w:tr w:rsidR="001E1B5B" w:rsidRPr="00470480" w:rsidTr="001E1B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pPr>
              <w:jc w:val="both"/>
              <w:rPr>
                <w:rFonts w:ascii="Arial" w:hAnsi="Arial" w:cs="Arial"/>
                <w:color w:val="000000"/>
                <w:sz w:val="20"/>
                <w:szCs w:val="20"/>
              </w:rPr>
            </w:pPr>
            <w:r w:rsidRPr="00470480">
              <w:rPr>
                <w:rFonts w:ascii="Arial" w:hAnsi="Arial" w:cs="Arial"/>
                <w:color w:val="000000"/>
                <w:sz w:val="20"/>
                <w:szCs w:val="20"/>
              </w:rPr>
              <w:t>(b) Tier-II UCBs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pPr>
              <w:jc w:val="center"/>
              <w:rPr>
                <w:rFonts w:ascii="Arial" w:hAnsi="Arial" w:cs="Arial"/>
                <w:color w:val="000000"/>
                <w:sz w:val="20"/>
                <w:szCs w:val="20"/>
              </w:rPr>
            </w:pPr>
            <w:r w:rsidRPr="00470480">
              <w:rPr>
                <w:rFonts w:ascii="Arial" w:hAnsi="Arial" w:cs="Arial"/>
                <w:color w:val="000000"/>
                <w:sz w:val="20"/>
                <w:szCs w:val="20"/>
              </w:rPr>
              <w:t>₹70 lakh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pPr>
              <w:jc w:val="center"/>
              <w:rPr>
                <w:rFonts w:ascii="Arial" w:hAnsi="Arial" w:cs="Arial"/>
                <w:color w:val="000000"/>
                <w:sz w:val="20"/>
                <w:szCs w:val="20"/>
              </w:rPr>
            </w:pPr>
            <w:r w:rsidRPr="00470480">
              <w:rPr>
                <w:rFonts w:ascii="Arial" w:hAnsi="Arial" w:cs="Arial"/>
                <w:color w:val="000000"/>
                <w:sz w:val="20"/>
                <w:szCs w:val="20"/>
              </w:rPr>
              <w:t>₹140 lakh</w:t>
            </w:r>
          </w:p>
        </w:tc>
      </w:tr>
      <w:tr w:rsidR="001E1B5B" w:rsidRPr="00470480" w:rsidTr="001E1B5B">
        <w:trPr>
          <w:jc w:val="center"/>
        </w:trPr>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pPr>
              <w:jc w:val="both"/>
              <w:rPr>
                <w:rFonts w:ascii="Arial" w:hAnsi="Arial" w:cs="Arial"/>
                <w:color w:val="000000"/>
                <w:sz w:val="20"/>
                <w:szCs w:val="20"/>
              </w:rPr>
            </w:pPr>
            <w:r w:rsidRPr="00470480">
              <w:rPr>
                <w:rFonts w:ascii="Arial" w:hAnsi="Arial" w:cs="Arial"/>
                <w:color w:val="000000"/>
                <w:sz w:val="20"/>
                <w:szCs w:val="20"/>
              </w:rPr>
              <w:t>*subject to prescribed prudential exposure limits</w:t>
            </w:r>
          </w:p>
        </w:tc>
      </w:tr>
    </w:tbl>
    <w:p w:rsidR="001E1B5B" w:rsidRPr="00470480" w:rsidRDefault="001E1B5B" w:rsidP="001E1B5B">
      <w:pPr>
        <w:pStyle w:val="NormalWeb"/>
        <w:jc w:val="both"/>
        <w:rPr>
          <w:rFonts w:ascii="Arial" w:hAnsi="Arial" w:cs="Arial"/>
          <w:color w:val="000000"/>
          <w:sz w:val="20"/>
          <w:szCs w:val="20"/>
        </w:rPr>
      </w:pPr>
      <w:r w:rsidRPr="00470480">
        <w:rPr>
          <w:rFonts w:ascii="Arial" w:hAnsi="Arial" w:cs="Arial"/>
          <w:color w:val="000000"/>
          <w:sz w:val="20"/>
          <w:szCs w:val="20"/>
        </w:rPr>
        <w:t>3. All other extant instructions in the matter shall remain unchanged. The above instructions will come into effect from the date of this circular.</w:t>
      </w:r>
    </w:p>
    <w:p w:rsidR="001E1B5B" w:rsidRPr="00470480" w:rsidRDefault="001E1B5B" w:rsidP="001E1B5B">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1E1B5B" w:rsidRPr="00470480" w:rsidRDefault="001E1B5B" w:rsidP="001E1B5B">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BA70DE" w:rsidRDefault="00BA70DE" w:rsidP="001E1B5B">
      <w:pPr>
        <w:spacing w:after="0"/>
        <w:jc w:val="both"/>
        <w:rPr>
          <w:rFonts w:ascii="Arial" w:hAnsi="Arial" w:cs="Arial"/>
          <w:sz w:val="20"/>
          <w:szCs w:val="20"/>
        </w:rPr>
      </w:pPr>
    </w:p>
    <w:p w:rsidR="00BA70DE" w:rsidRDefault="00BA70DE" w:rsidP="001E1B5B">
      <w:pPr>
        <w:spacing w:after="0"/>
        <w:jc w:val="both"/>
        <w:rPr>
          <w:rFonts w:ascii="Arial" w:hAnsi="Arial" w:cs="Arial"/>
          <w:sz w:val="20"/>
          <w:szCs w:val="20"/>
        </w:rPr>
      </w:pPr>
    </w:p>
    <w:p w:rsidR="001E1B5B" w:rsidRPr="00470480" w:rsidRDefault="00BA5B87" w:rsidP="001E1B5B">
      <w:pPr>
        <w:spacing w:after="0"/>
        <w:jc w:val="both"/>
        <w:rPr>
          <w:rFonts w:ascii="Arial" w:hAnsi="Arial" w:cs="Arial"/>
          <w:sz w:val="20"/>
          <w:szCs w:val="20"/>
        </w:rPr>
      </w:pPr>
      <w:r>
        <w:rPr>
          <w:rFonts w:ascii="Arial" w:hAnsi="Arial" w:cs="Arial"/>
          <w:sz w:val="20"/>
          <w:szCs w:val="20"/>
        </w:rPr>
        <w:t>For ‘</w:t>
      </w:r>
      <w:r w:rsidRPr="00BA5B87">
        <w:rPr>
          <w:rFonts w:ascii="Arial" w:hAnsi="Arial" w:cs="Arial"/>
          <w:sz w:val="20"/>
          <w:szCs w:val="20"/>
        </w:rPr>
        <w:t>Extract from Statement on Developmental and Regulatory Policies June 08, 2022</w:t>
      </w:r>
      <w:r>
        <w:rPr>
          <w:rFonts w:ascii="Arial" w:hAnsi="Arial" w:cs="Arial"/>
          <w:sz w:val="20"/>
          <w:szCs w:val="20"/>
        </w:rPr>
        <w:t>’, please refer to the link below.</w:t>
      </w: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 xml:space="preserve">Reference Link: </w:t>
      </w:r>
      <w:hyperlink r:id="rId48" w:history="1">
        <w:r w:rsidRPr="00470480">
          <w:rPr>
            <w:rStyle w:val="Hyperlink"/>
            <w:rFonts w:ascii="Arial" w:hAnsi="Arial" w:cs="Arial"/>
            <w:sz w:val="20"/>
            <w:szCs w:val="20"/>
          </w:rPr>
          <w:t>https://www.rbi.org.in/Scripts/NotificationUser.aspx?Id=12336&amp;Mode=0</w:t>
        </w:r>
      </w:hyperlink>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p>
    <w:p w:rsidR="00BA5B87" w:rsidRDefault="00BA5B87" w:rsidP="001E1B5B">
      <w:pPr>
        <w:spacing w:after="0"/>
        <w:jc w:val="both"/>
        <w:rPr>
          <w:rFonts w:ascii="Arial" w:hAnsi="Arial" w:cs="Arial"/>
          <w:sz w:val="20"/>
          <w:szCs w:val="20"/>
        </w:rPr>
      </w:pPr>
    </w:p>
    <w:p w:rsidR="00827FA7" w:rsidRDefault="00827FA7" w:rsidP="001E1B5B">
      <w:pPr>
        <w:spacing w:after="0"/>
        <w:jc w:val="both"/>
        <w:rPr>
          <w:rFonts w:ascii="Arial" w:hAnsi="Arial" w:cs="Arial"/>
          <w:sz w:val="20"/>
          <w:szCs w:val="20"/>
        </w:rPr>
      </w:pPr>
    </w:p>
    <w:p w:rsidR="00827FA7" w:rsidRDefault="00827FA7"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b/>
          <w:bCs/>
          <w:color w:val="000000"/>
          <w:sz w:val="20"/>
          <w:szCs w:val="20"/>
        </w:rPr>
      </w:pPr>
      <w:r w:rsidRPr="00470480">
        <w:rPr>
          <w:rFonts w:ascii="Arial" w:hAnsi="Arial" w:cs="Arial"/>
          <w:b/>
          <w:bCs/>
          <w:color w:val="000000"/>
          <w:sz w:val="20"/>
          <w:szCs w:val="20"/>
        </w:rPr>
        <w:t>Enhancement in Individual Housing Loan limits and credit to Commercial Real Estate - Residential Housing (CRE-RH)</w:t>
      </w:r>
    </w:p>
    <w:p w:rsidR="001E1B5B" w:rsidRPr="00470480" w:rsidRDefault="001E1B5B" w:rsidP="001E1B5B">
      <w:pPr>
        <w:spacing w:after="0"/>
        <w:jc w:val="both"/>
        <w:rPr>
          <w:rFonts w:ascii="Arial" w:hAnsi="Arial" w:cs="Arial"/>
          <w:b/>
          <w:bCs/>
          <w:color w:val="000000"/>
          <w:sz w:val="20"/>
          <w:szCs w:val="20"/>
        </w:rPr>
      </w:pPr>
    </w:p>
    <w:p w:rsidR="001E1B5B" w:rsidRDefault="001E1B5B" w:rsidP="001E1B5B">
      <w:pPr>
        <w:spacing w:after="0"/>
        <w:jc w:val="both"/>
        <w:rPr>
          <w:rFonts w:ascii="Arial" w:hAnsi="Arial" w:cs="Arial"/>
          <w:sz w:val="20"/>
          <w:szCs w:val="20"/>
        </w:rPr>
      </w:pPr>
      <w:r w:rsidRPr="00470480">
        <w:rPr>
          <w:rFonts w:ascii="Arial" w:hAnsi="Arial" w:cs="Arial"/>
          <w:sz w:val="20"/>
          <w:szCs w:val="20"/>
        </w:rPr>
        <w:t>RBI/2022-23/67</w:t>
      </w:r>
      <w:r w:rsidRPr="00470480">
        <w:rPr>
          <w:rFonts w:ascii="Arial" w:hAnsi="Arial" w:cs="Arial"/>
          <w:sz w:val="20"/>
          <w:szCs w:val="20"/>
        </w:rPr>
        <w:br/>
        <w:t>DOR.CRE.REC.43/09.22.010/2022-23</w:t>
      </w:r>
    </w:p>
    <w:p w:rsidR="00470480" w:rsidRPr="00470480" w:rsidRDefault="00470480"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June 08, 2022</w:t>
      </w:r>
    </w:p>
    <w:p w:rsidR="00311876" w:rsidRDefault="00311876" w:rsidP="001E1B5B">
      <w:pPr>
        <w:spacing w:after="0"/>
        <w:rPr>
          <w:rFonts w:ascii="Arial" w:hAnsi="Arial" w:cs="Arial"/>
          <w:sz w:val="20"/>
          <w:szCs w:val="20"/>
        </w:rPr>
      </w:pPr>
    </w:p>
    <w:p w:rsidR="001E1B5B" w:rsidRDefault="001E1B5B" w:rsidP="001E1B5B">
      <w:pPr>
        <w:spacing w:after="0"/>
        <w:rPr>
          <w:rFonts w:ascii="Arial" w:hAnsi="Arial" w:cs="Arial"/>
          <w:sz w:val="20"/>
          <w:szCs w:val="20"/>
        </w:rPr>
      </w:pPr>
      <w:r w:rsidRPr="00470480">
        <w:rPr>
          <w:rFonts w:ascii="Arial" w:hAnsi="Arial" w:cs="Arial"/>
          <w:sz w:val="20"/>
          <w:szCs w:val="20"/>
        </w:rPr>
        <w:t>All State Co-operative Banks (</w:t>
      </w:r>
      <w:proofErr w:type="spellStart"/>
      <w:r w:rsidRPr="00470480">
        <w:rPr>
          <w:rFonts w:ascii="Arial" w:hAnsi="Arial" w:cs="Arial"/>
          <w:sz w:val="20"/>
          <w:szCs w:val="20"/>
        </w:rPr>
        <w:t>StCBs</w:t>
      </w:r>
      <w:proofErr w:type="spellEnd"/>
      <w:r w:rsidRPr="00470480">
        <w:rPr>
          <w:rFonts w:ascii="Arial" w:hAnsi="Arial" w:cs="Arial"/>
          <w:sz w:val="20"/>
          <w:szCs w:val="20"/>
        </w:rPr>
        <w:t>)</w:t>
      </w:r>
      <w:r w:rsidRPr="00470480">
        <w:rPr>
          <w:rFonts w:ascii="Arial" w:hAnsi="Arial" w:cs="Arial"/>
          <w:sz w:val="20"/>
          <w:szCs w:val="20"/>
        </w:rPr>
        <w:br/>
        <w:t>All District Central Co-operative Banks (DCCBs)</w:t>
      </w:r>
    </w:p>
    <w:p w:rsidR="00470480" w:rsidRPr="00470480" w:rsidRDefault="00470480" w:rsidP="001E1B5B">
      <w:pPr>
        <w:spacing w:after="0"/>
        <w:rPr>
          <w:rFonts w:ascii="Arial" w:hAnsi="Arial" w:cs="Arial"/>
          <w:sz w:val="20"/>
          <w:szCs w:val="20"/>
        </w:rPr>
      </w:pPr>
    </w:p>
    <w:p w:rsidR="001E1B5B" w:rsidRDefault="001E1B5B" w:rsidP="001E1B5B">
      <w:pPr>
        <w:spacing w:after="0"/>
        <w:jc w:val="both"/>
        <w:rPr>
          <w:rFonts w:ascii="Arial" w:hAnsi="Arial" w:cs="Arial"/>
          <w:sz w:val="20"/>
          <w:szCs w:val="20"/>
        </w:rPr>
      </w:pPr>
      <w:r w:rsidRPr="00470480">
        <w:rPr>
          <w:rFonts w:ascii="Arial" w:hAnsi="Arial" w:cs="Arial"/>
          <w:sz w:val="20"/>
          <w:szCs w:val="20"/>
        </w:rPr>
        <w:t>Madam / Dear Sir,</w:t>
      </w:r>
    </w:p>
    <w:p w:rsidR="00470480" w:rsidRPr="00470480" w:rsidRDefault="00470480" w:rsidP="001E1B5B">
      <w:pPr>
        <w:spacing w:after="0"/>
        <w:jc w:val="both"/>
        <w:rPr>
          <w:rFonts w:ascii="Arial" w:hAnsi="Arial" w:cs="Arial"/>
          <w:sz w:val="20"/>
          <w:szCs w:val="20"/>
        </w:rPr>
      </w:pPr>
    </w:p>
    <w:p w:rsidR="001E1B5B" w:rsidRDefault="001E1B5B" w:rsidP="001E1B5B">
      <w:pPr>
        <w:spacing w:after="0"/>
        <w:jc w:val="both"/>
        <w:rPr>
          <w:rFonts w:ascii="Arial" w:hAnsi="Arial" w:cs="Arial"/>
          <w:b/>
          <w:bCs/>
          <w:sz w:val="20"/>
          <w:szCs w:val="20"/>
        </w:rPr>
      </w:pPr>
      <w:r w:rsidRPr="00470480">
        <w:rPr>
          <w:rFonts w:ascii="Arial" w:hAnsi="Arial" w:cs="Arial"/>
          <w:b/>
          <w:bCs/>
          <w:sz w:val="20"/>
          <w:szCs w:val="20"/>
        </w:rPr>
        <w:t>Enhancement in Individual Housing Loan limits and credit to Commercial Real Estate - Residential Housing (CRE-RH)</w:t>
      </w:r>
    </w:p>
    <w:p w:rsidR="00470480" w:rsidRPr="00470480" w:rsidRDefault="00470480" w:rsidP="001E1B5B">
      <w:pPr>
        <w:spacing w:after="0"/>
        <w:jc w:val="both"/>
        <w:rPr>
          <w:rFonts w:ascii="Arial" w:hAnsi="Arial" w:cs="Arial"/>
          <w:b/>
          <w:bCs/>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Please refer to our </w:t>
      </w:r>
      <w:hyperlink r:id="rId49" w:tgtFrame="_blank" w:history="1">
        <w:r w:rsidRPr="00470480">
          <w:rPr>
            <w:rStyle w:val="Hyperlink"/>
            <w:rFonts w:ascii="Arial" w:hAnsi="Arial" w:cs="Arial"/>
            <w:sz w:val="20"/>
            <w:szCs w:val="20"/>
          </w:rPr>
          <w:t>circulars RPCD CO.RCBD.BC.No.15 /03.03.01/2009-10 dated August 13, 2009</w:t>
        </w:r>
      </w:hyperlink>
      <w:r w:rsidRPr="00470480">
        <w:rPr>
          <w:rFonts w:ascii="Arial" w:hAnsi="Arial" w:cs="Arial"/>
          <w:sz w:val="20"/>
          <w:szCs w:val="20"/>
        </w:rPr>
        <w:t>, </w:t>
      </w:r>
      <w:hyperlink r:id="rId50" w:tgtFrame="_blank" w:history="1">
        <w:r w:rsidRPr="00470480">
          <w:rPr>
            <w:rStyle w:val="Hyperlink"/>
            <w:rFonts w:ascii="Arial" w:hAnsi="Arial" w:cs="Arial"/>
            <w:sz w:val="20"/>
            <w:szCs w:val="20"/>
          </w:rPr>
          <w:t>RPCD.CO.RF.BC.No.109/07.38.01/2008-09 dated May 25, 2009</w:t>
        </w:r>
      </w:hyperlink>
      <w:r w:rsidRPr="00470480">
        <w:rPr>
          <w:rFonts w:ascii="Arial" w:hAnsi="Arial" w:cs="Arial"/>
          <w:sz w:val="20"/>
          <w:szCs w:val="20"/>
        </w:rPr>
        <w:t> and </w:t>
      </w:r>
      <w:hyperlink r:id="rId51" w:tgtFrame="_blank" w:history="1">
        <w:r w:rsidRPr="00470480">
          <w:rPr>
            <w:rStyle w:val="Hyperlink"/>
            <w:rFonts w:ascii="Arial" w:hAnsi="Arial" w:cs="Arial"/>
            <w:sz w:val="20"/>
            <w:szCs w:val="20"/>
          </w:rPr>
          <w:t xml:space="preserve">RPCD.CO.RCBD. </w:t>
        </w:r>
        <w:proofErr w:type="spellStart"/>
        <w:r w:rsidRPr="00470480">
          <w:rPr>
            <w:rStyle w:val="Hyperlink"/>
            <w:rFonts w:ascii="Arial" w:hAnsi="Arial" w:cs="Arial"/>
            <w:sz w:val="20"/>
            <w:szCs w:val="20"/>
          </w:rPr>
          <w:t>BC.No</w:t>
        </w:r>
        <w:proofErr w:type="spellEnd"/>
        <w:r w:rsidRPr="00470480">
          <w:rPr>
            <w:rStyle w:val="Hyperlink"/>
            <w:rFonts w:ascii="Arial" w:hAnsi="Arial" w:cs="Arial"/>
            <w:sz w:val="20"/>
            <w:szCs w:val="20"/>
          </w:rPr>
          <w:t>. 48 /03.03.01/2010-11 dated January 20, 2011</w:t>
        </w:r>
      </w:hyperlink>
      <w:r w:rsidRPr="00470480">
        <w:rPr>
          <w:rFonts w:ascii="Arial" w:hAnsi="Arial" w:cs="Arial"/>
          <w:sz w:val="20"/>
          <w:szCs w:val="20"/>
        </w:rPr>
        <w:t> issued on the above subject.</w:t>
      </w: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2. As announced in the </w:t>
      </w:r>
      <w:hyperlink r:id="rId52"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sz w:val="20"/>
          <w:szCs w:val="20"/>
        </w:rPr>
        <w:t> (</w:t>
      </w:r>
      <w:hyperlink r:id="rId53" w:anchor="Extract" w:history="1">
        <w:r w:rsidRPr="00470480">
          <w:rPr>
            <w:rStyle w:val="Hyperlink"/>
            <w:rFonts w:ascii="Arial" w:hAnsi="Arial" w:cs="Arial"/>
            <w:sz w:val="20"/>
            <w:szCs w:val="20"/>
          </w:rPr>
          <w:t>para no.1 &amp; 2 annexed</w:t>
        </w:r>
      </w:hyperlink>
      <w:r w:rsidRPr="00470480">
        <w:rPr>
          <w:rFonts w:ascii="Arial" w:hAnsi="Arial" w:cs="Arial"/>
          <w:sz w:val="20"/>
          <w:szCs w:val="20"/>
        </w:rPr>
        <w:t>), it has been decided to revise the limits on residential housing loans sanctioned by rural co-operative banks to an individual borrower as under:</w:t>
      </w:r>
    </w:p>
    <w:tbl>
      <w:tblPr>
        <w:tblW w:w="42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289"/>
        <w:gridCol w:w="1685"/>
        <w:gridCol w:w="1685"/>
      </w:tblGrid>
      <w:tr w:rsidR="001E1B5B" w:rsidRPr="00470480" w:rsidTr="001E1B5B">
        <w:trPr>
          <w:jc w:val="center"/>
        </w:trPr>
        <w:tc>
          <w:tcPr>
            <w:tcW w:w="2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rsidP="001E1B5B">
            <w:pPr>
              <w:spacing w:after="0"/>
              <w:jc w:val="both"/>
              <w:rPr>
                <w:rFonts w:ascii="Arial" w:hAnsi="Arial" w:cs="Arial"/>
                <w:b/>
                <w:bCs/>
                <w:sz w:val="20"/>
                <w:szCs w:val="20"/>
              </w:rPr>
            </w:pPr>
            <w:r w:rsidRPr="00470480">
              <w:rPr>
                <w:rFonts w:ascii="Arial" w:hAnsi="Arial" w:cs="Arial"/>
                <w:b/>
                <w:bCs/>
                <w:sz w:val="20"/>
                <w:szCs w:val="20"/>
              </w:rPr>
              <w:t>Category of the bank</w:t>
            </w:r>
          </w:p>
        </w:tc>
        <w:tc>
          <w:tcPr>
            <w:tcW w:w="11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rsidP="001E1B5B">
            <w:pPr>
              <w:spacing w:after="0"/>
              <w:jc w:val="both"/>
              <w:rPr>
                <w:rFonts w:ascii="Arial" w:hAnsi="Arial" w:cs="Arial"/>
                <w:b/>
                <w:bCs/>
                <w:sz w:val="20"/>
                <w:szCs w:val="20"/>
              </w:rPr>
            </w:pPr>
            <w:r w:rsidRPr="00470480">
              <w:rPr>
                <w:rFonts w:ascii="Arial" w:hAnsi="Arial" w:cs="Arial"/>
                <w:b/>
                <w:bCs/>
                <w:sz w:val="20"/>
                <w:szCs w:val="20"/>
              </w:rPr>
              <w:t>Existing Limit</w:t>
            </w:r>
            <w:r w:rsidRPr="00470480">
              <w:rPr>
                <w:rFonts w:ascii="Arial" w:hAnsi="Arial" w:cs="Arial"/>
                <w:b/>
                <w:bCs/>
                <w:sz w:val="20"/>
                <w:szCs w:val="20"/>
              </w:rPr>
              <w:br/>
              <w:t>(per individual borrower)</w:t>
            </w:r>
          </w:p>
        </w:tc>
        <w:tc>
          <w:tcPr>
            <w:tcW w:w="11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rsidP="001E1B5B">
            <w:pPr>
              <w:spacing w:after="0"/>
              <w:jc w:val="both"/>
              <w:rPr>
                <w:rFonts w:ascii="Arial" w:hAnsi="Arial" w:cs="Arial"/>
                <w:b/>
                <w:bCs/>
                <w:sz w:val="20"/>
                <w:szCs w:val="20"/>
              </w:rPr>
            </w:pPr>
            <w:r w:rsidRPr="00470480">
              <w:rPr>
                <w:rFonts w:ascii="Arial" w:hAnsi="Arial" w:cs="Arial"/>
                <w:b/>
                <w:bCs/>
                <w:sz w:val="20"/>
                <w:szCs w:val="20"/>
              </w:rPr>
              <w:t>Revised Limit</w:t>
            </w:r>
            <w:r w:rsidRPr="00470480">
              <w:rPr>
                <w:rFonts w:ascii="Arial" w:hAnsi="Arial" w:cs="Arial"/>
                <w:b/>
                <w:bCs/>
                <w:sz w:val="20"/>
                <w:szCs w:val="20"/>
              </w:rPr>
              <w:br/>
              <w:t>(per individual borrower)</w:t>
            </w:r>
          </w:p>
        </w:tc>
      </w:tr>
      <w:tr w:rsidR="001E1B5B" w:rsidRPr="00470480" w:rsidTr="001E1B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 xml:space="preserve">(a) </w:t>
            </w:r>
            <w:proofErr w:type="spellStart"/>
            <w:r w:rsidRPr="00470480">
              <w:rPr>
                <w:rFonts w:ascii="Arial" w:hAnsi="Arial" w:cs="Arial"/>
                <w:sz w:val="20"/>
                <w:szCs w:val="20"/>
              </w:rPr>
              <w:t>StCBs</w:t>
            </w:r>
            <w:proofErr w:type="spellEnd"/>
            <w:r w:rsidRPr="00470480">
              <w:rPr>
                <w:rFonts w:ascii="Arial" w:hAnsi="Arial" w:cs="Arial"/>
                <w:sz w:val="20"/>
                <w:szCs w:val="20"/>
              </w:rPr>
              <w:t>/DCCBs having assessed net worth less than ₹100 crore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₹20 lakh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₹50 lakh</w:t>
            </w:r>
          </w:p>
        </w:tc>
      </w:tr>
      <w:tr w:rsidR="001E1B5B" w:rsidRPr="00470480" w:rsidTr="001E1B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 xml:space="preserve">(b) </w:t>
            </w:r>
            <w:proofErr w:type="spellStart"/>
            <w:r w:rsidRPr="00470480">
              <w:rPr>
                <w:rFonts w:ascii="Arial" w:hAnsi="Arial" w:cs="Arial"/>
                <w:sz w:val="20"/>
                <w:szCs w:val="20"/>
              </w:rPr>
              <w:t>StCBs</w:t>
            </w:r>
            <w:proofErr w:type="spellEnd"/>
            <w:r w:rsidRPr="00470480">
              <w:rPr>
                <w:rFonts w:ascii="Arial" w:hAnsi="Arial" w:cs="Arial"/>
                <w:sz w:val="20"/>
                <w:szCs w:val="20"/>
              </w:rPr>
              <w:t>/DCCBs having assessed net worth equal to or more than ₹100 crore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₹30 lakh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₹75 lakh</w:t>
            </w:r>
          </w:p>
        </w:tc>
      </w:tr>
    </w:tbl>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 xml:space="preserve">3. Further, it has been decided to allow </w:t>
      </w:r>
      <w:proofErr w:type="spellStart"/>
      <w:r w:rsidRPr="00470480">
        <w:rPr>
          <w:rFonts w:ascii="Arial" w:hAnsi="Arial" w:cs="Arial"/>
          <w:sz w:val="20"/>
          <w:szCs w:val="20"/>
        </w:rPr>
        <w:t>StCBs</w:t>
      </w:r>
      <w:proofErr w:type="spellEnd"/>
      <w:r w:rsidRPr="00470480">
        <w:rPr>
          <w:rFonts w:ascii="Arial" w:hAnsi="Arial" w:cs="Arial"/>
          <w:sz w:val="20"/>
          <w:szCs w:val="20"/>
        </w:rPr>
        <w:t xml:space="preserve"> and DCCBs to extend finance to Commercial Real Estate-Residential Housing (CRE-RH) within the existing aggregate housing finance limit of 5% of their total assets. For this purpose, CRE-RH shall consist of loans to builders/developers for residential housing projects (except for captive consumption). Such projects should ordinarily not include non-residential commercial real estate. However, integrated housing projects comprising some commercial space (e.g. shopping complex, school, etc.) can also be classified under CRE-RH, provided that the commercial area in the residential housing project does not exceed 10% of the total Floor Space Index (FSI) of the project. Standard asset provision of 0.75% and risk weight of 75% shall be maintained for CRE-RH advances.</w:t>
      </w: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4. Banks shall have a Board-approved policy for financing CRE-RH and a review note on the performance of the CRE-RH portfolio shall be placed before the Board at least on a half-yearly basis. All other extant instructions in the matter shall remain unchanged. The above instructions will come into effect from the date of this circular.</w:t>
      </w: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rPr>
          <w:rFonts w:ascii="Arial" w:hAnsi="Arial" w:cs="Arial"/>
          <w:sz w:val="20"/>
          <w:szCs w:val="20"/>
        </w:rPr>
      </w:pPr>
      <w:r w:rsidRPr="00470480">
        <w:rPr>
          <w:rFonts w:ascii="Arial" w:hAnsi="Arial" w:cs="Arial"/>
          <w:sz w:val="20"/>
          <w:szCs w:val="20"/>
        </w:rPr>
        <w:t>Yours faithfully,</w:t>
      </w:r>
    </w:p>
    <w:p w:rsidR="001E1B5B" w:rsidRPr="00470480" w:rsidRDefault="001E1B5B" w:rsidP="001E1B5B">
      <w:pPr>
        <w:spacing w:after="0"/>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r w:rsidRPr="00470480">
        <w:rPr>
          <w:rFonts w:ascii="Arial" w:hAnsi="Arial" w:cs="Arial"/>
          <w:sz w:val="20"/>
          <w:szCs w:val="20"/>
        </w:rPr>
        <w:br/>
        <w:t>Chief General Manager</w:t>
      </w:r>
    </w:p>
    <w:p w:rsidR="001E1B5B" w:rsidRPr="00470480" w:rsidRDefault="001E1B5B" w:rsidP="001E1B5B">
      <w:pPr>
        <w:spacing w:after="0"/>
        <w:jc w:val="both"/>
        <w:rPr>
          <w:rFonts w:ascii="Arial" w:hAnsi="Arial" w:cs="Arial"/>
          <w:sz w:val="20"/>
          <w:szCs w:val="20"/>
        </w:rPr>
      </w:pPr>
    </w:p>
    <w:p w:rsidR="00BA70DE" w:rsidRDefault="00BA70DE" w:rsidP="001E1B5B">
      <w:pPr>
        <w:spacing w:after="0"/>
        <w:jc w:val="both"/>
        <w:rPr>
          <w:rFonts w:ascii="Arial" w:hAnsi="Arial" w:cs="Arial"/>
          <w:bCs/>
          <w:sz w:val="20"/>
          <w:szCs w:val="20"/>
        </w:rPr>
      </w:pPr>
    </w:p>
    <w:p w:rsidR="001E1B5B" w:rsidRDefault="00827FA7" w:rsidP="001E1B5B">
      <w:pPr>
        <w:spacing w:after="0"/>
        <w:jc w:val="both"/>
        <w:rPr>
          <w:rFonts w:ascii="Arial" w:hAnsi="Arial" w:cs="Arial"/>
          <w:bCs/>
          <w:sz w:val="20"/>
          <w:szCs w:val="20"/>
        </w:rPr>
      </w:pPr>
      <w:r w:rsidRPr="00827FA7">
        <w:rPr>
          <w:rFonts w:ascii="Arial" w:hAnsi="Arial" w:cs="Arial"/>
          <w:bCs/>
          <w:sz w:val="20"/>
          <w:szCs w:val="20"/>
        </w:rPr>
        <w:t xml:space="preserve">For </w:t>
      </w:r>
      <w:r>
        <w:rPr>
          <w:rFonts w:ascii="Arial" w:hAnsi="Arial" w:cs="Arial"/>
          <w:bCs/>
          <w:sz w:val="20"/>
          <w:szCs w:val="20"/>
        </w:rPr>
        <w:t>‘</w:t>
      </w:r>
      <w:r w:rsidR="001E1B5B" w:rsidRPr="00827FA7">
        <w:rPr>
          <w:rFonts w:ascii="Arial" w:hAnsi="Arial" w:cs="Arial"/>
          <w:bCs/>
          <w:sz w:val="20"/>
          <w:szCs w:val="20"/>
        </w:rPr>
        <w:t>Extract from Statement on Developmental and Regulatory Policies June 08, 2022</w:t>
      </w:r>
      <w:r>
        <w:rPr>
          <w:rFonts w:ascii="Arial" w:hAnsi="Arial" w:cs="Arial"/>
          <w:bCs/>
          <w:sz w:val="20"/>
          <w:szCs w:val="20"/>
        </w:rPr>
        <w:t>’ please refer to the link below.</w:t>
      </w:r>
    </w:p>
    <w:p w:rsidR="00BA70DE" w:rsidRDefault="00BA70DE" w:rsidP="001E1B5B">
      <w:pPr>
        <w:spacing w:after="0"/>
        <w:jc w:val="both"/>
        <w:rPr>
          <w:rFonts w:ascii="Arial" w:hAnsi="Arial" w:cs="Arial"/>
          <w:sz w:val="20"/>
          <w:szCs w:val="20"/>
        </w:rPr>
      </w:pPr>
    </w:p>
    <w:p w:rsidR="001E1B5B" w:rsidRPr="00470480" w:rsidRDefault="00BA70DE" w:rsidP="001E1B5B">
      <w:pPr>
        <w:spacing w:after="0"/>
        <w:jc w:val="both"/>
        <w:rPr>
          <w:rFonts w:ascii="Arial" w:hAnsi="Arial" w:cs="Arial"/>
          <w:sz w:val="20"/>
          <w:szCs w:val="20"/>
        </w:rPr>
      </w:pPr>
      <w:r>
        <w:rPr>
          <w:rFonts w:ascii="Arial" w:hAnsi="Arial" w:cs="Arial"/>
          <w:sz w:val="20"/>
          <w:szCs w:val="20"/>
        </w:rPr>
        <w:t xml:space="preserve">Reference Link: </w:t>
      </w:r>
      <w:hyperlink r:id="rId54" w:history="1">
        <w:r w:rsidR="001E1B5B" w:rsidRPr="00470480">
          <w:rPr>
            <w:rStyle w:val="Hyperlink"/>
            <w:rFonts w:ascii="Arial" w:hAnsi="Arial" w:cs="Arial"/>
            <w:sz w:val="20"/>
            <w:szCs w:val="20"/>
          </w:rPr>
          <w:t>https://www.rbi.org.in/Scripts/NotificationUser.aspx?Id=12335&amp;Mode=0</w:t>
        </w:r>
      </w:hyperlink>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p>
    <w:p w:rsidR="00BA70DE" w:rsidRDefault="00BA70DE" w:rsidP="001E1B5B">
      <w:pPr>
        <w:spacing w:after="0"/>
        <w:jc w:val="both"/>
        <w:rPr>
          <w:rFonts w:ascii="Arial" w:hAnsi="Arial" w:cs="Arial"/>
          <w:b/>
          <w:bCs/>
          <w:color w:val="000000"/>
          <w:sz w:val="20"/>
          <w:szCs w:val="20"/>
        </w:rPr>
      </w:pPr>
    </w:p>
    <w:p w:rsidR="001E1B5B" w:rsidRPr="00470480" w:rsidRDefault="001E1B5B" w:rsidP="001E1B5B">
      <w:pPr>
        <w:spacing w:after="0"/>
        <w:jc w:val="both"/>
        <w:rPr>
          <w:rFonts w:ascii="Arial" w:hAnsi="Arial" w:cs="Arial"/>
          <w:b/>
          <w:bCs/>
          <w:color w:val="000000"/>
          <w:sz w:val="20"/>
          <w:szCs w:val="20"/>
        </w:rPr>
      </w:pPr>
      <w:r w:rsidRPr="00470480">
        <w:rPr>
          <w:rFonts w:ascii="Arial" w:hAnsi="Arial" w:cs="Arial"/>
          <w:b/>
          <w:bCs/>
          <w:color w:val="000000"/>
          <w:sz w:val="20"/>
          <w:szCs w:val="20"/>
        </w:rPr>
        <w:t>Section 23 of the Banking Regulation Act, 1949 – Doorstep Banking</w:t>
      </w:r>
    </w:p>
    <w:p w:rsidR="001E1B5B" w:rsidRPr="00470480" w:rsidRDefault="001E1B5B" w:rsidP="001E1B5B">
      <w:pPr>
        <w:spacing w:after="0"/>
        <w:jc w:val="both"/>
        <w:rPr>
          <w:rFonts w:ascii="Arial" w:hAnsi="Arial" w:cs="Arial"/>
          <w:b/>
          <w:bCs/>
          <w:color w:val="000000"/>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RBI/2022-23/66</w:t>
      </w:r>
    </w:p>
    <w:p w:rsidR="001E1B5B" w:rsidRPr="00470480" w:rsidRDefault="001E1B5B" w:rsidP="001E1B5B">
      <w:pPr>
        <w:spacing w:after="0"/>
        <w:jc w:val="both"/>
        <w:rPr>
          <w:rFonts w:ascii="Arial" w:hAnsi="Arial" w:cs="Arial"/>
          <w:sz w:val="20"/>
          <w:szCs w:val="20"/>
        </w:rPr>
      </w:pPr>
      <w:proofErr w:type="gramStart"/>
      <w:r w:rsidRPr="00470480">
        <w:rPr>
          <w:rFonts w:ascii="Arial" w:hAnsi="Arial" w:cs="Arial"/>
          <w:sz w:val="20"/>
          <w:szCs w:val="20"/>
        </w:rPr>
        <w:t>DOR.REG.No.</w:t>
      </w:r>
      <w:proofErr w:type="gramEnd"/>
      <w:r w:rsidRPr="00470480">
        <w:rPr>
          <w:rFonts w:ascii="Arial" w:hAnsi="Arial" w:cs="Arial"/>
          <w:sz w:val="20"/>
          <w:szCs w:val="20"/>
        </w:rPr>
        <w:t>45/19.51.052/2022-23</w:t>
      </w: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June 8, 2022</w:t>
      </w: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All Primary (Urban) Co-operative banks</w:t>
      </w: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Madam / Dear Sir</w:t>
      </w: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Section 23 of the Banking Regulation Act, 1949 – Doorstep Banking</w:t>
      </w: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In terms of Section 23 of the Banking Regulation Act, 1949 (AACS) Primary (Urban) Co-operative Banks (UCBs) are required to seek prior approval of the Reserve Bank for opening any new place of business including offering services at the doorstep of the customer.</w:t>
      </w: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2. Keeping in view the above, it has been decided to allow financially sound and well managed (FSWM) UCBs to provide Doorstep Banking Services to their customers on a voluntary basis. However, Non-FSWM UCBs would have to seek prior approval of concerned Regional Office of Department of Supervision of the Reserve Bank to provide Doorstep Banking Services.</w:t>
      </w: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3. Eligible UCBs may formulate a scheme for providing Doorstep Banking Services to their customers, with the approval of their Boards, in accordance with the guidelines enclosed to this letter.</w:t>
      </w: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4. UCBs are further advised to take into account the various risks that may arise on account of offering Doorstep Banking Services to customers either directly through own employees or through agents and take all necessary steps to manage the same.</w:t>
      </w: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5. The operation of the scheme may also be reviewed by the Boards of UCBs on a half-yearly basis during the first year of its operation. The scheme may be reviewed thereafter on an annual basis.</w:t>
      </w: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Yours faithfully</w:t>
      </w: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Shrimohan</w:t>
      </w:r>
      <w:proofErr w:type="spellEnd"/>
      <w:r w:rsidRPr="00470480">
        <w:rPr>
          <w:rFonts w:ascii="Arial" w:hAnsi="Arial" w:cs="Arial"/>
          <w:sz w:val="20"/>
          <w:szCs w:val="20"/>
        </w:rPr>
        <w:t xml:space="preserve"> Yadav)</w:t>
      </w: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Chief General Manager</w:t>
      </w: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proofErr w:type="spellStart"/>
      <w:r w:rsidRPr="00470480">
        <w:rPr>
          <w:rFonts w:ascii="Arial" w:hAnsi="Arial" w:cs="Arial"/>
          <w:sz w:val="20"/>
          <w:szCs w:val="20"/>
        </w:rPr>
        <w:t>Encl</w:t>
      </w:r>
      <w:proofErr w:type="spellEnd"/>
      <w:r w:rsidRPr="00470480">
        <w:rPr>
          <w:rFonts w:ascii="Arial" w:hAnsi="Arial" w:cs="Arial"/>
          <w:sz w:val="20"/>
          <w:szCs w:val="20"/>
        </w:rPr>
        <w:t>: as above</w:t>
      </w:r>
    </w:p>
    <w:p w:rsidR="001E1B5B" w:rsidRPr="00470480" w:rsidRDefault="001E1B5B" w:rsidP="001E1B5B">
      <w:pPr>
        <w:spacing w:after="0"/>
        <w:jc w:val="both"/>
        <w:rPr>
          <w:rFonts w:ascii="Arial" w:hAnsi="Arial" w:cs="Arial"/>
          <w:sz w:val="20"/>
          <w:szCs w:val="20"/>
        </w:rPr>
      </w:pPr>
    </w:p>
    <w:p w:rsidR="00AC68C8" w:rsidRDefault="00AC68C8" w:rsidP="001E1B5B">
      <w:pPr>
        <w:spacing w:after="0"/>
        <w:jc w:val="both"/>
        <w:rPr>
          <w:rFonts w:ascii="Arial" w:hAnsi="Arial" w:cs="Arial"/>
          <w:sz w:val="20"/>
          <w:szCs w:val="20"/>
        </w:rPr>
      </w:pPr>
    </w:p>
    <w:p w:rsidR="00AC68C8" w:rsidRDefault="00AC68C8"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r w:rsidRPr="00470480">
        <w:rPr>
          <w:rFonts w:ascii="Arial" w:hAnsi="Arial" w:cs="Arial"/>
          <w:sz w:val="20"/>
          <w:szCs w:val="20"/>
        </w:rPr>
        <w:t xml:space="preserve">Reference Link: </w:t>
      </w:r>
      <w:hyperlink r:id="rId55" w:history="1">
        <w:r w:rsidRPr="00470480">
          <w:rPr>
            <w:rStyle w:val="Hyperlink"/>
            <w:rFonts w:ascii="Arial" w:hAnsi="Arial" w:cs="Arial"/>
            <w:sz w:val="20"/>
            <w:szCs w:val="20"/>
          </w:rPr>
          <w:t>https://www.rbi.org.in/Scripts/NotificationUser.aspx?Id=12334&amp;Mode=0</w:t>
        </w:r>
      </w:hyperlink>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p>
    <w:p w:rsidR="001E1B5B" w:rsidRPr="00470480" w:rsidRDefault="001E1B5B" w:rsidP="001E1B5B">
      <w:pPr>
        <w:spacing w:after="0"/>
        <w:jc w:val="both"/>
        <w:rPr>
          <w:rFonts w:ascii="Arial" w:hAnsi="Arial" w:cs="Arial"/>
          <w:sz w:val="20"/>
          <w:szCs w:val="20"/>
        </w:rPr>
      </w:pPr>
    </w:p>
    <w:p w:rsidR="00470480" w:rsidRDefault="00470480" w:rsidP="001E1B5B">
      <w:pPr>
        <w:spacing w:after="0"/>
        <w:jc w:val="both"/>
        <w:rPr>
          <w:rFonts w:ascii="Arial" w:hAnsi="Arial" w:cs="Arial"/>
          <w:b/>
          <w:bCs/>
          <w:color w:val="000000"/>
          <w:sz w:val="20"/>
          <w:szCs w:val="20"/>
        </w:rPr>
      </w:pPr>
    </w:p>
    <w:p w:rsidR="00470480" w:rsidRDefault="00470480" w:rsidP="001E1B5B">
      <w:pPr>
        <w:spacing w:after="0"/>
        <w:jc w:val="both"/>
        <w:rPr>
          <w:rFonts w:ascii="Arial" w:hAnsi="Arial" w:cs="Arial"/>
          <w:b/>
          <w:bCs/>
          <w:color w:val="000000"/>
          <w:sz w:val="20"/>
          <w:szCs w:val="20"/>
        </w:rPr>
      </w:pPr>
    </w:p>
    <w:p w:rsidR="00470480" w:rsidRDefault="00470480" w:rsidP="001E1B5B">
      <w:pPr>
        <w:spacing w:after="0"/>
        <w:jc w:val="both"/>
        <w:rPr>
          <w:rFonts w:ascii="Arial" w:hAnsi="Arial" w:cs="Arial"/>
          <w:b/>
          <w:bCs/>
          <w:color w:val="000000"/>
          <w:sz w:val="20"/>
          <w:szCs w:val="20"/>
        </w:rPr>
      </w:pPr>
    </w:p>
    <w:p w:rsidR="00311876" w:rsidRDefault="00311876" w:rsidP="001E1B5B">
      <w:pPr>
        <w:spacing w:after="0"/>
        <w:jc w:val="both"/>
        <w:rPr>
          <w:rFonts w:ascii="Arial" w:hAnsi="Arial" w:cs="Arial"/>
          <w:b/>
          <w:bCs/>
          <w:color w:val="000000"/>
          <w:sz w:val="20"/>
          <w:szCs w:val="20"/>
        </w:rPr>
      </w:pPr>
    </w:p>
    <w:p w:rsidR="00311876" w:rsidRDefault="00311876" w:rsidP="001E1B5B">
      <w:pPr>
        <w:spacing w:after="0"/>
        <w:jc w:val="both"/>
        <w:rPr>
          <w:rFonts w:ascii="Arial" w:hAnsi="Arial" w:cs="Arial"/>
          <w:b/>
          <w:bCs/>
          <w:color w:val="000000"/>
          <w:sz w:val="20"/>
          <w:szCs w:val="20"/>
        </w:rPr>
      </w:pPr>
    </w:p>
    <w:p w:rsidR="00311876" w:rsidRDefault="00311876" w:rsidP="001E1B5B">
      <w:pPr>
        <w:spacing w:after="0"/>
        <w:jc w:val="both"/>
        <w:rPr>
          <w:rFonts w:ascii="Arial" w:hAnsi="Arial" w:cs="Arial"/>
          <w:b/>
          <w:bCs/>
          <w:color w:val="000000"/>
          <w:sz w:val="20"/>
          <w:szCs w:val="20"/>
        </w:rPr>
      </w:pPr>
    </w:p>
    <w:p w:rsidR="00311876" w:rsidRDefault="00311876" w:rsidP="001E1B5B">
      <w:pPr>
        <w:spacing w:after="0"/>
        <w:jc w:val="both"/>
        <w:rPr>
          <w:rFonts w:ascii="Arial" w:hAnsi="Arial" w:cs="Arial"/>
          <w:b/>
          <w:bCs/>
          <w:color w:val="000000"/>
          <w:sz w:val="20"/>
          <w:szCs w:val="20"/>
        </w:rPr>
      </w:pPr>
      <w:r>
        <w:rPr>
          <w:rFonts w:ascii="Arial" w:hAnsi="Arial" w:cs="Arial"/>
          <w:b/>
          <w:bCs/>
          <w:color w:val="000000"/>
          <w:sz w:val="20"/>
          <w:szCs w:val="20"/>
        </w:rPr>
        <w:t>Branches of Indian Banks operating in GIFT-IFSC – acting as Professional Clearing Member (PCM) of India International Bullion Exchange IFSC Limited (IIBX)</w:t>
      </w:r>
    </w:p>
    <w:p w:rsidR="00311876" w:rsidRDefault="00311876" w:rsidP="001E1B5B">
      <w:pPr>
        <w:spacing w:after="0"/>
        <w:jc w:val="both"/>
        <w:rPr>
          <w:rFonts w:ascii="Arial" w:hAnsi="Arial" w:cs="Arial"/>
          <w:b/>
          <w:bCs/>
          <w:color w:val="000000"/>
          <w:sz w:val="20"/>
          <w:szCs w:val="20"/>
        </w:rPr>
      </w:pPr>
    </w:p>
    <w:p w:rsidR="00311876" w:rsidRDefault="00311876" w:rsidP="00311876">
      <w:pPr>
        <w:pStyle w:val="NormalWeb"/>
        <w:jc w:val="both"/>
        <w:rPr>
          <w:rFonts w:ascii="Arial" w:hAnsi="Arial" w:cs="Arial"/>
          <w:color w:val="000000"/>
          <w:sz w:val="20"/>
          <w:szCs w:val="20"/>
        </w:rPr>
      </w:pPr>
      <w:r>
        <w:rPr>
          <w:rFonts w:ascii="Arial" w:hAnsi="Arial" w:cs="Arial"/>
          <w:color w:val="000000"/>
          <w:sz w:val="20"/>
          <w:szCs w:val="20"/>
        </w:rPr>
        <w:t>RBI/2022-23/62</w:t>
      </w:r>
      <w:r>
        <w:rPr>
          <w:rFonts w:ascii="Arial" w:hAnsi="Arial" w:cs="Arial"/>
          <w:color w:val="000000"/>
          <w:sz w:val="20"/>
          <w:szCs w:val="20"/>
        </w:rPr>
        <w:br/>
        <w:t>DoR.AUT.REC.41/24.01.001/2022-23</w:t>
      </w:r>
    </w:p>
    <w:p w:rsidR="00311876" w:rsidRDefault="00311876" w:rsidP="00311876">
      <w:pPr>
        <w:pStyle w:val="NormalWeb"/>
        <w:jc w:val="right"/>
        <w:rPr>
          <w:rFonts w:ascii="Arial" w:hAnsi="Arial" w:cs="Arial"/>
          <w:color w:val="000000"/>
          <w:sz w:val="20"/>
          <w:szCs w:val="20"/>
        </w:rPr>
      </w:pPr>
      <w:r>
        <w:rPr>
          <w:rFonts w:ascii="Arial" w:hAnsi="Arial" w:cs="Arial"/>
          <w:color w:val="000000"/>
          <w:sz w:val="20"/>
          <w:szCs w:val="20"/>
        </w:rPr>
        <w:t>June 07, 2022</w:t>
      </w:r>
    </w:p>
    <w:p w:rsidR="00311876" w:rsidRDefault="00311876" w:rsidP="00311876">
      <w:pPr>
        <w:pStyle w:val="NormalWeb"/>
        <w:jc w:val="both"/>
        <w:rPr>
          <w:rFonts w:ascii="Arial" w:hAnsi="Arial" w:cs="Arial"/>
          <w:color w:val="000000"/>
          <w:sz w:val="20"/>
          <w:szCs w:val="20"/>
        </w:rPr>
      </w:pPr>
      <w:r>
        <w:rPr>
          <w:rFonts w:ascii="Arial" w:hAnsi="Arial" w:cs="Arial"/>
          <w:color w:val="000000"/>
          <w:sz w:val="20"/>
          <w:szCs w:val="20"/>
        </w:rPr>
        <w:t>All Scheduled Commercial Banks</w:t>
      </w:r>
    </w:p>
    <w:p w:rsidR="00311876" w:rsidRDefault="00311876" w:rsidP="00311876">
      <w:pPr>
        <w:pStyle w:val="NormalWeb"/>
        <w:jc w:val="both"/>
        <w:rPr>
          <w:rFonts w:ascii="Arial" w:hAnsi="Arial" w:cs="Arial"/>
          <w:color w:val="000000"/>
          <w:sz w:val="20"/>
          <w:szCs w:val="20"/>
        </w:rPr>
      </w:pPr>
      <w:r>
        <w:rPr>
          <w:rFonts w:ascii="Arial" w:hAnsi="Arial" w:cs="Arial"/>
          <w:color w:val="000000"/>
          <w:sz w:val="20"/>
          <w:szCs w:val="20"/>
        </w:rPr>
        <w:t>Madam/Dear Sir</w:t>
      </w:r>
    </w:p>
    <w:p w:rsidR="00311876" w:rsidRDefault="00311876" w:rsidP="00311876">
      <w:pPr>
        <w:pStyle w:val="head"/>
        <w:jc w:val="both"/>
        <w:rPr>
          <w:rFonts w:ascii="Arial" w:hAnsi="Arial" w:cs="Arial"/>
          <w:b/>
          <w:bCs/>
          <w:color w:val="000000"/>
          <w:sz w:val="20"/>
          <w:szCs w:val="20"/>
        </w:rPr>
      </w:pPr>
      <w:r>
        <w:rPr>
          <w:rFonts w:ascii="Arial" w:hAnsi="Arial" w:cs="Arial"/>
          <w:b/>
          <w:bCs/>
          <w:color w:val="000000"/>
          <w:sz w:val="20"/>
          <w:szCs w:val="20"/>
        </w:rPr>
        <w:t>Branches of Indian Banks operating in GIFT-IFSC – acting as Professional Clearing Member (PCM) of India International Bullion Exchange IFSC Limited (IIBX)</w:t>
      </w:r>
    </w:p>
    <w:p w:rsidR="00311876" w:rsidRDefault="00311876" w:rsidP="00311876">
      <w:pPr>
        <w:pStyle w:val="NormalWeb"/>
        <w:jc w:val="both"/>
        <w:rPr>
          <w:rFonts w:ascii="Arial" w:hAnsi="Arial" w:cs="Arial"/>
          <w:color w:val="000000"/>
          <w:sz w:val="20"/>
          <w:szCs w:val="20"/>
        </w:rPr>
      </w:pPr>
      <w:r>
        <w:rPr>
          <w:rFonts w:ascii="Arial" w:hAnsi="Arial" w:cs="Arial"/>
          <w:color w:val="000000"/>
          <w:sz w:val="20"/>
          <w:szCs w:val="20"/>
        </w:rPr>
        <w:t>On a review, it has been decided to allow the branches of Indian banks operating in GIFT-IFSC to act as PCM of IIBX.</w:t>
      </w:r>
    </w:p>
    <w:p w:rsidR="00311876" w:rsidRDefault="00311876" w:rsidP="00311876">
      <w:pPr>
        <w:pStyle w:val="NormalWeb"/>
        <w:jc w:val="both"/>
        <w:rPr>
          <w:rFonts w:ascii="Arial" w:hAnsi="Arial" w:cs="Arial"/>
          <w:color w:val="000000"/>
          <w:sz w:val="20"/>
          <w:szCs w:val="20"/>
        </w:rPr>
      </w:pPr>
      <w:r>
        <w:rPr>
          <w:rFonts w:ascii="Arial" w:hAnsi="Arial" w:cs="Arial"/>
          <w:color w:val="000000"/>
          <w:sz w:val="20"/>
          <w:szCs w:val="20"/>
        </w:rPr>
        <w:t>2. Accordingly, in exercise of the powers conferred on the Reserve Bank of India under Section 35A of the Banking Regulation Act, 1949, the Reserve Bank, being satisfied that it is necessary and expedient in the public interest so to do, hereby, issues the instructions hereinafter specified.</w:t>
      </w:r>
    </w:p>
    <w:p w:rsidR="00311876" w:rsidRDefault="00311876" w:rsidP="00311876">
      <w:pPr>
        <w:pStyle w:val="head"/>
        <w:jc w:val="both"/>
        <w:rPr>
          <w:rFonts w:ascii="Arial" w:hAnsi="Arial" w:cs="Arial"/>
          <w:b/>
          <w:bCs/>
          <w:color w:val="000000"/>
          <w:sz w:val="20"/>
          <w:szCs w:val="20"/>
        </w:rPr>
      </w:pPr>
      <w:r>
        <w:rPr>
          <w:rFonts w:ascii="Arial" w:hAnsi="Arial" w:cs="Arial"/>
          <w:b/>
          <w:bCs/>
          <w:color w:val="000000"/>
          <w:sz w:val="20"/>
          <w:szCs w:val="20"/>
        </w:rPr>
        <w:t>3. Applicability</w:t>
      </w:r>
    </w:p>
    <w:p w:rsidR="00311876" w:rsidRDefault="00311876" w:rsidP="00311876">
      <w:pPr>
        <w:pStyle w:val="NormalWeb"/>
        <w:jc w:val="both"/>
        <w:rPr>
          <w:rFonts w:ascii="Arial" w:hAnsi="Arial" w:cs="Arial"/>
          <w:color w:val="000000"/>
          <w:sz w:val="20"/>
          <w:szCs w:val="20"/>
        </w:rPr>
      </w:pPr>
      <w:r>
        <w:rPr>
          <w:rFonts w:ascii="Arial" w:hAnsi="Arial" w:cs="Arial"/>
          <w:color w:val="000000"/>
          <w:sz w:val="20"/>
          <w:szCs w:val="20"/>
        </w:rPr>
        <w:t>The instructions are applicable to domestic scheduled commercial banks (including foreign banks operating through a Wholly Owned Subsidiary incorporated in India), which are authorised to deal in foreign exchange and have a branch in GIFT-IFSC.</w:t>
      </w:r>
    </w:p>
    <w:p w:rsidR="00311876" w:rsidRDefault="00311876" w:rsidP="00311876">
      <w:pPr>
        <w:pStyle w:val="head"/>
        <w:jc w:val="both"/>
        <w:rPr>
          <w:rFonts w:ascii="Arial" w:hAnsi="Arial" w:cs="Arial"/>
          <w:b/>
          <w:bCs/>
          <w:color w:val="000000"/>
          <w:sz w:val="20"/>
          <w:szCs w:val="20"/>
        </w:rPr>
      </w:pPr>
      <w:r>
        <w:rPr>
          <w:rFonts w:ascii="Arial" w:hAnsi="Arial" w:cs="Arial"/>
          <w:b/>
          <w:bCs/>
          <w:color w:val="000000"/>
          <w:sz w:val="20"/>
          <w:szCs w:val="20"/>
        </w:rPr>
        <w:t>4. Procedure for Application</w:t>
      </w:r>
    </w:p>
    <w:p w:rsidR="00311876" w:rsidRDefault="00311876" w:rsidP="00311876">
      <w:pPr>
        <w:pStyle w:val="NormalWeb"/>
        <w:jc w:val="both"/>
        <w:rPr>
          <w:rFonts w:ascii="Arial" w:hAnsi="Arial" w:cs="Arial"/>
          <w:color w:val="000000"/>
          <w:sz w:val="20"/>
          <w:szCs w:val="20"/>
        </w:rPr>
      </w:pPr>
      <w:r>
        <w:rPr>
          <w:rFonts w:ascii="Arial" w:hAnsi="Arial" w:cs="Arial"/>
          <w:color w:val="000000"/>
          <w:sz w:val="20"/>
          <w:szCs w:val="20"/>
        </w:rPr>
        <w:t>The parent bank (‘bank’) shall seek a No Objection Certificate (</w:t>
      </w:r>
      <w:proofErr w:type="spellStart"/>
      <w:r>
        <w:rPr>
          <w:rFonts w:ascii="Arial" w:hAnsi="Arial" w:cs="Arial"/>
          <w:color w:val="000000"/>
          <w:sz w:val="20"/>
          <w:szCs w:val="20"/>
        </w:rPr>
        <w:t>NoC</w:t>
      </w:r>
      <w:proofErr w:type="spellEnd"/>
      <w:r>
        <w:rPr>
          <w:rFonts w:ascii="Arial" w:hAnsi="Arial" w:cs="Arial"/>
          <w:color w:val="000000"/>
          <w:sz w:val="20"/>
          <w:szCs w:val="20"/>
        </w:rPr>
        <w:t>) from the Reserve Bank of India prior to its branch in GIFT-IFSC seeking professional clearing membership of IIBX, subject to fulfilment of the prudential requirements as set out in Para 21 of the </w:t>
      </w:r>
      <w:hyperlink r:id="rId56" w:tgtFrame="_blank" w:history="1">
        <w:r>
          <w:rPr>
            <w:rStyle w:val="Hyperlink"/>
            <w:rFonts w:ascii="Arial" w:hAnsi="Arial" w:cs="Arial"/>
            <w:sz w:val="20"/>
            <w:szCs w:val="20"/>
          </w:rPr>
          <w:t>Master Direction/DBR.FSD.No.101/24.01.041/2015-16 dated May 26, 2016</w:t>
        </w:r>
      </w:hyperlink>
      <w:r>
        <w:rPr>
          <w:rFonts w:ascii="Arial" w:hAnsi="Arial" w:cs="Arial"/>
          <w:color w:val="000000"/>
          <w:sz w:val="20"/>
          <w:szCs w:val="20"/>
        </w:rPr>
        <w:t>. An eligible bank shall, with prior approval of its Board, make an application to the Department of Regulation, Reserve Bank of India with details of its proposed business plan as a PCM along with particulars of the risk management architecture instituted at its branch in GIFT-IFSC.</w:t>
      </w:r>
    </w:p>
    <w:p w:rsidR="00BA70DE" w:rsidRDefault="00BA70DE" w:rsidP="00BA70DE"/>
    <w:p w:rsidR="00BA70DE" w:rsidRDefault="00BA70DE" w:rsidP="00BA70DE">
      <w:r>
        <w:t>More details can be referred to in the below link.</w:t>
      </w:r>
    </w:p>
    <w:p w:rsidR="00470480" w:rsidRDefault="00311876" w:rsidP="001E1B5B">
      <w:pPr>
        <w:spacing w:after="0"/>
        <w:jc w:val="both"/>
        <w:rPr>
          <w:rFonts w:ascii="Arial" w:hAnsi="Arial" w:cs="Arial"/>
          <w:bCs/>
          <w:color w:val="000000"/>
          <w:sz w:val="20"/>
          <w:szCs w:val="20"/>
        </w:rPr>
      </w:pPr>
      <w:r w:rsidRPr="00311876">
        <w:rPr>
          <w:rFonts w:ascii="Arial" w:hAnsi="Arial" w:cs="Arial"/>
          <w:bCs/>
          <w:color w:val="000000"/>
          <w:sz w:val="20"/>
          <w:szCs w:val="20"/>
        </w:rPr>
        <w:t xml:space="preserve">Reference Link: </w:t>
      </w:r>
      <w:hyperlink r:id="rId57" w:history="1">
        <w:r w:rsidRPr="00321241">
          <w:rPr>
            <w:rStyle w:val="Hyperlink"/>
            <w:rFonts w:ascii="Arial" w:hAnsi="Arial" w:cs="Arial"/>
            <w:bCs/>
            <w:sz w:val="20"/>
            <w:szCs w:val="20"/>
          </w:rPr>
          <w:t>https://www.rbi.org.in/Scripts/NotificationUser.aspx?Id=12330&amp;Mode=0</w:t>
        </w:r>
      </w:hyperlink>
    </w:p>
    <w:p w:rsidR="00311876" w:rsidRPr="00311876" w:rsidRDefault="00311876" w:rsidP="001E1B5B">
      <w:pPr>
        <w:spacing w:after="0"/>
        <w:jc w:val="both"/>
        <w:rPr>
          <w:rFonts w:ascii="Arial" w:hAnsi="Arial" w:cs="Arial"/>
          <w:bCs/>
          <w:color w:val="000000"/>
          <w:sz w:val="20"/>
          <w:szCs w:val="20"/>
        </w:rPr>
      </w:pPr>
    </w:p>
    <w:p w:rsidR="00470480" w:rsidRDefault="00470480" w:rsidP="001E1B5B">
      <w:pPr>
        <w:spacing w:after="0"/>
        <w:jc w:val="both"/>
        <w:rPr>
          <w:rFonts w:ascii="Arial" w:hAnsi="Arial" w:cs="Arial"/>
          <w:b/>
          <w:bCs/>
          <w:color w:val="000000"/>
          <w:sz w:val="20"/>
          <w:szCs w:val="20"/>
        </w:rPr>
      </w:pPr>
    </w:p>
    <w:p w:rsidR="00470480" w:rsidRDefault="00470480" w:rsidP="001E1B5B">
      <w:pPr>
        <w:spacing w:after="0"/>
        <w:jc w:val="both"/>
        <w:rPr>
          <w:rFonts w:ascii="Arial" w:hAnsi="Arial" w:cs="Arial"/>
          <w:b/>
          <w:bCs/>
          <w:color w:val="000000"/>
          <w:sz w:val="20"/>
          <w:szCs w:val="20"/>
        </w:rPr>
      </w:pPr>
    </w:p>
    <w:p w:rsidR="00470480" w:rsidRDefault="00470480" w:rsidP="001E1B5B">
      <w:pPr>
        <w:spacing w:after="0"/>
        <w:jc w:val="both"/>
        <w:rPr>
          <w:rFonts w:ascii="Arial" w:hAnsi="Arial" w:cs="Arial"/>
          <w:b/>
          <w:bCs/>
          <w:color w:val="000000"/>
          <w:sz w:val="20"/>
          <w:szCs w:val="20"/>
        </w:rPr>
      </w:pPr>
    </w:p>
    <w:p w:rsidR="00470480" w:rsidRDefault="00470480" w:rsidP="001E1B5B">
      <w:pPr>
        <w:spacing w:after="0"/>
        <w:jc w:val="both"/>
        <w:rPr>
          <w:rFonts w:ascii="Arial" w:hAnsi="Arial" w:cs="Arial"/>
          <w:b/>
          <w:bCs/>
          <w:color w:val="000000"/>
          <w:sz w:val="20"/>
          <w:szCs w:val="20"/>
        </w:rPr>
      </w:pPr>
    </w:p>
    <w:p w:rsidR="00311876" w:rsidRDefault="00311876" w:rsidP="001E1B5B">
      <w:pPr>
        <w:spacing w:after="0"/>
        <w:jc w:val="both"/>
        <w:rPr>
          <w:rFonts w:ascii="Arial" w:hAnsi="Arial" w:cs="Arial"/>
          <w:b/>
          <w:bCs/>
          <w:color w:val="000000"/>
          <w:sz w:val="20"/>
          <w:szCs w:val="20"/>
        </w:rPr>
      </w:pPr>
    </w:p>
    <w:p w:rsidR="00311876" w:rsidRDefault="00311876" w:rsidP="001E1B5B">
      <w:pPr>
        <w:spacing w:after="0"/>
        <w:jc w:val="both"/>
        <w:rPr>
          <w:rFonts w:ascii="Arial" w:hAnsi="Arial" w:cs="Arial"/>
          <w:b/>
          <w:bCs/>
          <w:color w:val="000000"/>
          <w:sz w:val="20"/>
          <w:szCs w:val="20"/>
        </w:rPr>
      </w:pPr>
    </w:p>
    <w:p w:rsidR="00311876" w:rsidRDefault="00311876" w:rsidP="001E1B5B">
      <w:pPr>
        <w:spacing w:after="0"/>
        <w:jc w:val="both"/>
        <w:rPr>
          <w:rFonts w:ascii="Arial" w:hAnsi="Arial" w:cs="Arial"/>
          <w:b/>
          <w:bCs/>
          <w:color w:val="000000"/>
          <w:sz w:val="20"/>
          <w:szCs w:val="20"/>
        </w:rPr>
      </w:pPr>
    </w:p>
    <w:p w:rsidR="00311876" w:rsidRDefault="00311876" w:rsidP="001E1B5B">
      <w:pPr>
        <w:spacing w:after="0"/>
        <w:jc w:val="both"/>
        <w:rPr>
          <w:rFonts w:ascii="Arial" w:hAnsi="Arial" w:cs="Arial"/>
          <w:b/>
          <w:bCs/>
          <w:color w:val="000000"/>
          <w:sz w:val="20"/>
          <w:szCs w:val="20"/>
        </w:rPr>
      </w:pPr>
    </w:p>
    <w:p w:rsidR="00311876" w:rsidRDefault="00311876" w:rsidP="001E1B5B">
      <w:pPr>
        <w:spacing w:after="0"/>
        <w:jc w:val="both"/>
        <w:rPr>
          <w:rFonts w:ascii="Arial" w:hAnsi="Arial" w:cs="Arial"/>
          <w:b/>
          <w:bCs/>
          <w:color w:val="000000"/>
          <w:sz w:val="20"/>
          <w:szCs w:val="20"/>
        </w:rPr>
      </w:pPr>
    </w:p>
    <w:p w:rsidR="00311876" w:rsidRDefault="00311876" w:rsidP="001E1B5B">
      <w:pPr>
        <w:spacing w:after="0"/>
        <w:jc w:val="both"/>
        <w:rPr>
          <w:rFonts w:ascii="Arial" w:hAnsi="Arial" w:cs="Arial"/>
          <w:b/>
          <w:bCs/>
          <w:color w:val="000000"/>
          <w:sz w:val="20"/>
          <w:szCs w:val="20"/>
        </w:rPr>
      </w:pPr>
    </w:p>
    <w:p w:rsidR="00311876" w:rsidRDefault="00311876" w:rsidP="001E1B5B">
      <w:pPr>
        <w:spacing w:after="0"/>
        <w:jc w:val="both"/>
        <w:rPr>
          <w:rFonts w:ascii="Arial" w:hAnsi="Arial" w:cs="Arial"/>
          <w:b/>
          <w:bCs/>
          <w:color w:val="000000"/>
          <w:sz w:val="20"/>
          <w:szCs w:val="20"/>
        </w:rPr>
      </w:pPr>
    </w:p>
    <w:p w:rsidR="00BE4BD6" w:rsidRPr="00470480" w:rsidRDefault="00BE4BD6" w:rsidP="001E1B5B">
      <w:pPr>
        <w:spacing w:after="0"/>
        <w:jc w:val="both"/>
        <w:rPr>
          <w:rFonts w:ascii="Arial" w:hAnsi="Arial" w:cs="Arial"/>
          <w:b/>
          <w:bCs/>
          <w:color w:val="000000"/>
          <w:sz w:val="20"/>
          <w:szCs w:val="20"/>
        </w:rPr>
      </w:pPr>
      <w:r w:rsidRPr="00470480">
        <w:rPr>
          <w:rFonts w:ascii="Arial" w:hAnsi="Arial" w:cs="Arial"/>
          <w:b/>
          <w:bCs/>
          <w:color w:val="000000"/>
          <w:sz w:val="20"/>
          <w:szCs w:val="20"/>
        </w:rPr>
        <w:t>Provisioning for Standard assets by Non-Banking Financial Company – Upper Layer</w:t>
      </w:r>
    </w:p>
    <w:p w:rsidR="00BE4BD6" w:rsidRPr="00470480" w:rsidRDefault="00BE4BD6" w:rsidP="001E1B5B">
      <w:pPr>
        <w:spacing w:after="0"/>
        <w:jc w:val="both"/>
        <w:rPr>
          <w:rFonts w:ascii="Arial" w:hAnsi="Arial" w:cs="Arial"/>
          <w:b/>
          <w:bCs/>
          <w:color w:val="000000"/>
          <w:sz w:val="20"/>
          <w:szCs w:val="20"/>
        </w:rPr>
      </w:pPr>
    </w:p>
    <w:p w:rsidR="00BE4BD6" w:rsidRPr="00470480" w:rsidRDefault="00BE4BD6" w:rsidP="00BE4BD6">
      <w:pPr>
        <w:pStyle w:val="NormalWeb"/>
        <w:jc w:val="both"/>
        <w:rPr>
          <w:rFonts w:ascii="Arial" w:hAnsi="Arial" w:cs="Arial"/>
          <w:color w:val="000000"/>
          <w:sz w:val="20"/>
          <w:szCs w:val="20"/>
        </w:rPr>
      </w:pPr>
      <w:r w:rsidRPr="00470480">
        <w:rPr>
          <w:rFonts w:ascii="Arial" w:hAnsi="Arial" w:cs="Arial"/>
          <w:color w:val="000000"/>
          <w:sz w:val="20"/>
          <w:szCs w:val="20"/>
        </w:rPr>
        <w:t>RBI/2022-23/61</w:t>
      </w:r>
      <w:r w:rsidRPr="00470480">
        <w:rPr>
          <w:rFonts w:ascii="Arial" w:hAnsi="Arial" w:cs="Arial"/>
          <w:color w:val="000000"/>
          <w:sz w:val="20"/>
          <w:szCs w:val="20"/>
        </w:rPr>
        <w:br/>
        <w:t>DOR.STR.REC.40/21.04.048/2022-23</w:t>
      </w:r>
    </w:p>
    <w:p w:rsidR="00BE4BD6" w:rsidRPr="00470480" w:rsidRDefault="00BE4BD6" w:rsidP="00BE4BD6">
      <w:pPr>
        <w:pStyle w:val="NormalWeb"/>
        <w:jc w:val="right"/>
        <w:rPr>
          <w:rFonts w:ascii="Arial" w:hAnsi="Arial" w:cs="Arial"/>
          <w:color w:val="000000"/>
          <w:sz w:val="20"/>
          <w:szCs w:val="20"/>
        </w:rPr>
      </w:pPr>
      <w:r w:rsidRPr="00470480">
        <w:rPr>
          <w:rFonts w:ascii="Arial" w:hAnsi="Arial" w:cs="Arial"/>
          <w:color w:val="000000"/>
          <w:sz w:val="20"/>
          <w:szCs w:val="20"/>
        </w:rPr>
        <w:t>June 6, 2022</w:t>
      </w:r>
    </w:p>
    <w:p w:rsidR="00BE4BD6" w:rsidRPr="00470480" w:rsidRDefault="00BE4BD6" w:rsidP="00BE4BD6">
      <w:pPr>
        <w:pStyle w:val="NormalWeb"/>
        <w:rPr>
          <w:rFonts w:ascii="Arial" w:hAnsi="Arial" w:cs="Arial"/>
          <w:color w:val="000000"/>
          <w:sz w:val="20"/>
          <w:szCs w:val="20"/>
        </w:rPr>
      </w:pPr>
      <w:r w:rsidRPr="00470480">
        <w:rPr>
          <w:rFonts w:ascii="Arial" w:hAnsi="Arial" w:cs="Arial"/>
          <w:color w:val="000000"/>
          <w:sz w:val="20"/>
          <w:szCs w:val="20"/>
        </w:rPr>
        <w:t>All Non-Banking Financial Companies</w:t>
      </w:r>
      <w:r w:rsidRPr="00470480">
        <w:rPr>
          <w:rFonts w:ascii="Arial" w:hAnsi="Arial" w:cs="Arial"/>
          <w:color w:val="000000"/>
          <w:sz w:val="20"/>
          <w:szCs w:val="20"/>
        </w:rPr>
        <w:br/>
        <w:t>(Including Housing Finance Companies)</w:t>
      </w:r>
    </w:p>
    <w:p w:rsidR="00BE4BD6" w:rsidRPr="00470480" w:rsidRDefault="00BE4BD6" w:rsidP="00BE4BD6">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BE4BD6" w:rsidRPr="00470480" w:rsidRDefault="00BE4BD6" w:rsidP="00BE4BD6">
      <w:pPr>
        <w:pStyle w:val="head"/>
        <w:jc w:val="both"/>
        <w:rPr>
          <w:rFonts w:ascii="Arial" w:hAnsi="Arial" w:cs="Arial"/>
          <w:b/>
          <w:bCs/>
          <w:color w:val="000000"/>
          <w:sz w:val="20"/>
          <w:szCs w:val="20"/>
        </w:rPr>
      </w:pPr>
      <w:r w:rsidRPr="00470480">
        <w:rPr>
          <w:rFonts w:ascii="Arial" w:hAnsi="Arial" w:cs="Arial"/>
          <w:b/>
          <w:bCs/>
          <w:color w:val="000000"/>
          <w:sz w:val="20"/>
          <w:szCs w:val="20"/>
        </w:rPr>
        <w:t>Provisioning for Standard assets by Non-Banking Financial Company – Upper Layer</w:t>
      </w:r>
    </w:p>
    <w:p w:rsidR="00BE4BD6" w:rsidRPr="00470480" w:rsidRDefault="00BE4BD6" w:rsidP="00BE4BD6">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58" w:tgtFrame="_blank" w:history="1">
        <w:r w:rsidRPr="00470480">
          <w:rPr>
            <w:rStyle w:val="Hyperlink"/>
            <w:rFonts w:ascii="Arial" w:hAnsi="Arial" w:cs="Arial"/>
            <w:sz w:val="20"/>
            <w:szCs w:val="20"/>
          </w:rPr>
          <w:t>circular DOR.CRE.REC.No.60/03.10.001/2021-22 dated October 22, 2021</w:t>
        </w:r>
      </w:hyperlink>
      <w:r w:rsidRPr="00470480">
        <w:rPr>
          <w:rFonts w:ascii="Arial" w:hAnsi="Arial" w:cs="Arial"/>
          <w:color w:val="000000"/>
          <w:sz w:val="20"/>
          <w:szCs w:val="20"/>
        </w:rPr>
        <w:t> on “Scale Based Regulation (SBR): A Revised Regulatory Framework for NBFCs” wherein it was inter alia mentioned that RBI would issue guidelines on differential provisioning to be held by NBFCs classified as NBFC-Upper Layer (NBFC-UL) towards different classes of standard assets.</w:t>
      </w:r>
    </w:p>
    <w:p w:rsidR="00BE4BD6" w:rsidRPr="00470480" w:rsidRDefault="00BE4BD6" w:rsidP="00BE4BD6">
      <w:pPr>
        <w:pStyle w:val="NormalWeb"/>
        <w:jc w:val="both"/>
        <w:rPr>
          <w:rFonts w:ascii="Arial" w:hAnsi="Arial" w:cs="Arial"/>
          <w:color w:val="000000"/>
          <w:sz w:val="20"/>
          <w:szCs w:val="20"/>
        </w:rPr>
      </w:pPr>
      <w:r w:rsidRPr="00470480">
        <w:rPr>
          <w:rFonts w:ascii="Arial" w:hAnsi="Arial" w:cs="Arial"/>
          <w:color w:val="000000"/>
          <w:sz w:val="20"/>
          <w:szCs w:val="20"/>
        </w:rPr>
        <w:t>2. Accordingly, it has been decided that NBFCs classified as NBFC-UL shall maintain provisions in respect of ‘standard’ assets at the following rates for the funded amount outstanding:</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537"/>
        <w:gridCol w:w="4023"/>
      </w:tblGrid>
      <w:tr w:rsidR="00BE4BD6" w:rsidRPr="00470480" w:rsidTr="00BE4BD6">
        <w:trPr>
          <w:jc w:val="center"/>
        </w:trPr>
        <w:tc>
          <w:tcPr>
            <w:tcW w:w="2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E4BD6" w:rsidRPr="00470480" w:rsidRDefault="00BE4BD6">
            <w:pPr>
              <w:jc w:val="center"/>
              <w:rPr>
                <w:rFonts w:ascii="Arial" w:hAnsi="Arial" w:cs="Arial"/>
                <w:b/>
                <w:bCs/>
                <w:color w:val="000000"/>
                <w:sz w:val="20"/>
                <w:szCs w:val="20"/>
              </w:rPr>
            </w:pPr>
            <w:r w:rsidRPr="00470480">
              <w:rPr>
                <w:rFonts w:ascii="Arial" w:hAnsi="Arial" w:cs="Arial"/>
                <w:b/>
                <w:bCs/>
                <w:color w:val="000000"/>
                <w:sz w:val="20"/>
                <w:szCs w:val="20"/>
              </w:rPr>
              <w:t>Category of Assets</w:t>
            </w:r>
          </w:p>
        </w:tc>
        <w:tc>
          <w:tcPr>
            <w:tcW w:w="2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E4BD6" w:rsidRPr="00470480" w:rsidRDefault="00BE4BD6">
            <w:pPr>
              <w:jc w:val="center"/>
              <w:rPr>
                <w:rFonts w:ascii="Arial" w:hAnsi="Arial" w:cs="Arial"/>
                <w:b/>
                <w:bCs/>
                <w:color w:val="000000"/>
                <w:sz w:val="20"/>
                <w:szCs w:val="20"/>
              </w:rPr>
            </w:pPr>
            <w:r w:rsidRPr="00470480">
              <w:rPr>
                <w:rFonts w:ascii="Arial" w:hAnsi="Arial" w:cs="Arial"/>
                <w:b/>
                <w:bCs/>
                <w:color w:val="000000"/>
                <w:sz w:val="20"/>
                <w:szCs w:val="20"/>
              </w:rPr>
              <w:t>Rate of Provision</w:t>
            </w:r>
          </w:p>
        </w:tc>
      </w:tr>
      <w:tr w:rsidR="00BE4BD6" w:rsidRPr="00470480" w:rsidTr="00BE4BD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E4BD6" w:rsidRPr="00470480" w:rsidRDefault="00BE4BD6">
            <w:pPr>
              <w:jc w:val="both"/>
              <w:rPr>
                <w:rFonts w:ascii="Arial" w:hAnsi="Arial" w:cs="Arial"/>
                <w:color w:val="000000"/>
                <w:sz w:val="20"/>
                <w:szCs w:val="20"/>
              </w:rPr>
            </w:pPr>
            <w:r w:rsidRPr="00470480">
              <w:rPr>
                <w:rFonts w:ascii="Arial" w:hAnsi="Arial" w:cs="Arial"/>
                <w:color w:val="000000"/>
                <w:sz w:val="20"/>
                <w:szCs w:val="20"/>
              </w:rPr>
              <w:t>Individual housing loans and loans to Small and Micro Enterprises (SMEs)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E4BD6" w:rsidRPr="00470480" w:rsidRDefault="00BE4BD6">
            <w:pPr>
              <w:jc w:val="both"/>
              <w:rPr>
                <w:rFonts w:ascii="Arial" w:hAnsi="Arial" w:cs="Arial"/>
                <w:color w:val="000000"/>
                <w:sz w:val="20"/>
                <w:szCs w:val="20"/>
              </w:rPr>
            </w:pPr>
            <w:r w:rsidRPr="00470480">
              <w:rPr>
                <w:rFonts w:ascii="Arial" w:hAnsi="Arial" w:cs="Arial"/>
                <w:color w:val="000000"/>
                <w:sz w:val="20"/>
                <w:szCs w:val="20"/>
              </w:rPr>
              <w:t>0.25 per cent</w:t>
            </w:r>
          </w:p>
        </w:tc>
      </w:tr>
      <w:tr w:rsidR="00BE4BD6" w:rsidRPr="00470480" w:rsidTr="00BE4BD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BE4BD6" w:rsidRPr="00470480" w:rsidRDefault="00BE4BD6">
            <w:pPr>
              <w:jc w:val="both"/>
              <w:rPr>
                <w:rFonts w:ascii="Arial" w:hAnsi="Arial" w:cs="Arial"/>
                <w:color w:val="000000"/>
                <w:sz w:val="20"/>
                <w:szCs w:val="20"/>
              </w:rPr>
            </w:pPr>
            <w:r w:rsidRPr="00470480">
              <w:rPr>
                <w:rFonts w:ascii="Arial" w:hAnsi="Arial" w:cs="Arial"/>
                <w:color w:val="000000"/>
                <w:sz w:val="20"/>
                <w:szCs w:val="20"/>
              </w:rPr>
              <w:t>Housing loans extended at teaser rates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E4BD6" w:rsidRPr="00470480" w:rsidRDefault="00BE4BD6">
            <w:pPr>
              <w:jc w:val="both"/>
              <w:rPr>
                <w:rFonts w:ascii="Arial" w:hAnsi="Arial" w:cs="Arial"/>
                <w:color w:val="000000"/>
                <w:sz w:val="20"/>
                <w:szCs w:val="20"/>
              </w:rPr>
            </w:pPr>
            <w:r w:rsidRPr="00470480">
              <w:rPr>
                <w:rFonts w:ascii="Arial" w:hAnsi="Arial" w:cs="Arial"/>
                <w:color w:val="000000"/>
                <w:sz w:val="20"/>
                <w:szCs w:val="20"/>
              </w:rPr>
              <w:t>2.00 per cent, which will decrease to 0.40 per cent after 1 year from the date on which the rates are reset at higher rates (if the accounts remain ‘standard’)</w:t>
            </w:r>
          </w:p>
        </w:tc>
      </w:tr>
      <w:tr w:rsidR="00BE4BD6" w:rsidRPr="00470480" w:rsidTr="00BE4BD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E4BD6" w:rsidRPr="00470480" w:rsidRDefault="00BE4BD6">
            <w:pPr>
              <w:jc w:val="both"/>
              <w:rPr>
                <w:rFonts w:ascii="Arial" w:hAnsi="Arial" w:cs="Arial"/>
                <w:color w:val="000000"/>
                <w:sz w:val="20"/>
                <w:szCs w:val="20"/>
              </w:rPr>
            </w:pPr>
            <w:r w:rsidRPr="00470480">
              <w:rPr>
                <w:rFonts w:ascii="Arial" w:hAnsi="Arial" w:cs="Arial"/>
                <w:color w:val="000000"/>
                <w:sz w:val="20"/>
                <w:szCs w:val="20"/>
              </w:rPr>
              <w:t>Advances to Commercial Real Estate – Residential Housing (CRE - RH) Sector</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E4BD6" w:rsidRPr="00470480" w:rsidRDefault="00BE4BD6">
            <w:pPr>
              <w:jc w:val="both"/>
              <w:rPr>
                <w:rFonts w:ascii="Arial" w:hAnsi="Arial" w:cs="Arial"/>
                <w:color w:val="000000"/>
                <w:sz w:val="20"/>
                <w:szCs w:val="20"/>
              </w:rPr>
            </w:pPr>
            <w:r w:rsidRPr="00470480">
              <w:rPr>
                <w:rFonts w:ascii="Arial" w:hAnsi="Arial" w:cs="Arial"/>
                <w:color w:val="000000"/>
                <w:sz w:val="20"/>
                <w:szCs w:val="20"/>
              </w:rPr>
              <w:t>0.75 per cent</w:t>
            </w:r>
          </w:p>
        </w:tc>
      </w:tr>
      <w:tr w:rsidR="00BE4BD6" w:rsidRPr="00470480" w:rsidTr="00BE4BD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E4BD6" w:rsidRPr="00470480" w:rsidRDefault="00BE4BD6">
            <w:pPr>
              <w:jc w:val="both"/>
              <w:rPr>
                <w:rFonts w:ascii="Arial" w:hAnsi="Arial" w:cs="Arial"/>
                <w:color w:val="000000"/>
                <w:sz w:val="20"/>
                <w:szCs w:val="20"/>
              </w:rPr>
            </w:pPr>
            <w:r w:rsidRPr="00470480">
              <w:rPr>
                <w:rFonts w:ascii="Arial" w:hAnsi="Arial" w:cs="Arial"/>
                <w:color w:val="000000"/>
                <w:sz w:val="20"/>
                <w:szCs w:val="20"/>
              </w:rPr>
              <w:t>Advances to Commercial Real Estate (CRE) Sector (other than CRE-RH)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E4BD6" w:rsidRPr="00470480" w:rsidRDefault="00BE4BD6">
            <w:pPr>
              <w:jc w:val="both"/>
              <w:rPr>
                <w:rFonts w:ascii="Arial" w:hAnsi="Arial" w:cs="Arial"/>
                <w:color w:val="000000"/>
                <w:sz w:val="20"/>
                <w:szCs w:val="20"/>
              </w:rPr>
            </w:pPr>
            <w:r w:rsidRPr="00470480">
              <w:rPr>
                <w:rFonts w:ascii="Arial" w:hAnsi="Arial" w:cs="Arial"/>
                <w:color w:val="000000"/>
                <w:sz w:val="20"/>
                <w:szCs w:val="20"/>
              </w:rPr>
              <w:t>1.00 per cent</w:t>
            </w:r>
          </w:p>
        </w:tc>
      </w:tr>
      <w:tr w:rsidR="00BE4BD6" w:rsidRPr="00470480" w:rsidTr="00BE4BD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BE4BD6" w:rsidRPr="00470480" w:rsidRDefault="00BE4BD6">
            <w:pPr>
              <w:jc w:val="both"/>
              <w:rPr>
                <w:rFonts w:ascii="Arial" w:hAnsi="Arial" w:cs="Arial"/>
                <w:color w:val="000000"/>
                <w:sz w:val="20"/>
                <w:szCs w:val="20"/>
              </w:rPr>
            </w:pPr>
            <w:r w:rsidRPr="00470480">
              <w:rPr>
                <w:rFonts w:ascii="Arial" w:hAnsi="Arial" w:cs="Arial"/>
                <w:color w:val="000000"/>
                <w:sz w:val="20"/>
                <w:szCs w:val="20"/>
              </w:rPr>
              <w:t>Restructured advances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E4BD6" w:rsidRPr="00470480" w:rsidRDefault="00BE4BD6">
            <w:pPr>
              <w:jc w:val="both"/>
              <w:rPr>
                <w:rFonts w:ascii="Arial" w:hAnsi="Arial" w:cs="Arial"/>
                <w:color w:val="000000"/>
                <w:sz w:val="20"/>
                <w:szCs w:val="20"/>
              </w:rPr>
            </w:pPr>
            <w:r w:rsidRPr="00470480">
              <w:rPr>
                <w:rFonts w:ascii="Arial" w:hAnsi="Arial" w:cs="Arial"/>
                <w:color w:val="000000"/>
                <w:sz w:val="20"/>
                <w:szCs w:val="20"/>
              </w:rPr>
              <w:t>As stipulated in the applicable prudential norms for restructuring of advances</w:t>
            </w:r>
          </w:p>
        </w:tc>
      </w:tr>
      <w:tr w:rsidR="00BE4BD6" w:rsidRPr="00470480" w:rsidTr="00BE4BD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BE4BD6" w:rsidRPr="00470480" w:rsidRDefault="00BE4BD6">
            <w:pPr>
              <w:jc w:val="both"/>
              <w:rPr>
                <w:rFonts w:ascii="Arial" w:hAnsi="Arial" w:cs="Arial"/>
                <w:color w:val="000000"/>
                <w:sz w:val="20"/>
                <w:szCs w:val="20"/>
              </w:rPr>
            </w:pPr>
            <w:r w:rsidRPr="00470480">
              <w:rPr>
                <w:rFonts w:ascii="Arial" w:hAnsi="Arial" w:cs="Arial"/>
                <w:color w:val="000000"/>
                <w:sz w:val="20"/>
                <w:szCs w:val="20"/>
              </w:rPr>
              <w:t>All other loans and advances not included above, including loans to Medium Enterprises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BE4BD6" w:rsidRPr="00470480" w:rsidRDefault="00BE4BD6">
            <w:pPr>
              <w:jc w:val="both"/>
              <w:rPr>
                <w:rFonts w:ascii="Arial" w:hAnsi="Arial" w:cs="Arial"/>
                <w:color w:val="000000"/>
                <w:sz w:val="20"/>
                <w:szCs w:val="20"/>
              </w:rPr>
            </w:pPr>
            <w:r w:rsidRPr="00470480">
              <w:rPr>
                <w:rFonts w:ascii="Arial" w:hAnsi="Arial" w:cs="Arial"/>
                <w:color w:val="000000"/>
                <w:sz w:val="20"/>
                <w:szCs w:val="20"/>
              </w:rPr>
              <w:t>0.40 per cent</w:t>
            </w:r>
          </w:p>
        </w:tc>
      </w:tr>
    </w:tbl>
    <w:p w:rsidR="004C0D2D" w:rsidRDefault="004C0D2D" w:rsidP="004C0D2D"/>
    <w:p w:rsidR="004C0D2D" w:rsidRDefault="004C0D2D" w:rsidP="004C0D2D"/>
    <w:p w:rsidR="004C0D2D" w:rsidRDefault="004C0D2D" w:rsidP="004C0D2D">
      <w:r>
        <w:t>More details can be referred to in the below link</w:t>
      </w:r>
    </w:p>
    <w:p w:rsidR="00BE4BD6" w:rsidRPr="00470480" w:rsidRDefault="00BE4BD6" w:rsidP="001E1B5B">
      <w:pPr>
        <w:spacing w:after="0"/>
        <w:jc w:val="both"/>
        <w:rPr>
          <w:rFonts w:ascii="Arial" w:hAnsi="Arial" w:cs="Arial"/>
          <w:bCs/>
          <w:color w:val="000000"/>
          <w:sz w:val="20"/>
          <w:szCs w:val="20"/>
        </w:rPr>
      </w:pPr>
      <w:r w:rsidRPr="00470480">
        <w:rPr>
          <w:rFonts w:ascii="Arial" w:hAnsi="Arial" w:cs="Arial"/>
          <w:bCs/>
          <w:color w:val="000000"/>
          <w:sz w:val="20"/>
          <w:szCs w:val="20"/>
        </w:rPr>
        <w:t xml:space="preserve">Reference Link: </w:t>
      </w:r>
      <w:hyperlink r:id="rId59" w:history="1">
        <w:r w:rsidRPr="00470480">
          <w:rPr>
            <w:rStyle w:val="Hyperlink"/>
            <w:rFonts w:ascii="Arial" w:hAnsi="Arial" w:cs="Arial"/>
            <w:bCs/>
            <w:sz w:val="20"/>
            <w:szCs w:val="20"/>
          </w:rPr>
          <w:t>https://www.rbi.org.in/Scripts/NotificationUser.aspx?Id=12329&amp;Mode=0</w:t>
        </w:r>
      </w:hyperlink>
    </w:p>
    <w:p w:rsidR="00BE4BD6" w:rsidRPr="00470480" w:rsidRDefault="00BE4BD6" w:rsidP="001E1B5B">
      <w:pPr>
        <w:spacing w:after="0"/>
        <w:jc w:val="both"/>
        <w:rPr>
          <w:rFonts w:ascii="Arial" w:hAnsi="Arial" w:cs="Arial"/>
          <w:bCs/>
          <w:color w:val="000000"/>
          <w:sz w:val="20"/>
          <w:szCs w:val="20"/>
        </w:rPr>
      </w:pPr>
    </w:p>
    <w:p w:rsidR="00BE4BD6" w:rsidRPr="00470480" w:rsidRDefault="00BE4BD6" w:rsidP="001E1B5B">
      <w:pPr>
        <w:spacing w:after="0"/>
        <w:jc w:val="both"/>
        <w:rPr>
          <w:rFonts w:ascii="Arial" w:hAnsi="Arial" w:cs="Arial"/>
          <w:b/>
          <w:bCs/>
          <w:color w:val="000000"/>
          <w:sz w:val="20"/>
          <w:szCs w:val="20"/>
        </w:rPr>
      </w:pPr>
    </w:p>
    <w:p w:rsidR="00BE4BD6" w:rsidRPr="00470480" w:rsidRDefault="00BE4BD6" w:rsidP="001E1B5B">
      <w:pPr>
        <w:spacing w:after="0"/>
        <w:jc w:val="both"/>
        <w:rPr>
          <w:rFonts w:ascii="Arial" w:hAnsi="Arial" w:cs="Arial"/>
          <w:b/>
          <w:bCs/>
          <w:color w:val="000000"/>
          <w:sz w:val="20"/>
          <w:szCs w:val="20"/>
        </w:rPr>
      </w:pPr>
    </w:p>
    <w:p w:rsidR="00BE4BD6" w:rsidRPr="00470480" w:rsidRDefault="00BE4BD6" w:rsidP="001E1B5B">
      <w:pPr>
        <w:spacing w:after="0"/>
        <w:jc w:val="both"/>
        <w:rPr>
          <w:rFonts w:ascii="Arial" w:hAnsi="Arial" w:cs="Arial"/>
          <w:b/>
          <w:bCs/>
          <w:color w:val="000000"/>
          <w:sz w:val="20"/>
          <w:szCs w:val="20"/>
        </w:rPr>
      </w:pPr>
    </w:p>
    <w:p w:rsidR="00BE4BD6" w:rsidRPr="00470480" w:rsidRDefault="00BE4BD6" w:rsidP="001E1B5B">
      <w:pPr>
        <w:spacing w:after="0"/>
        <w:jc w:val="both"/>
        <w:rPr>
          <w:rFonts w:ascii="Arial" w:hAnsi="Arial" w:cs="Arial"/>
          <w:b/>
          <w:bCs/>
          <w:color w:val="000000"/>
          <w:sz w:val="20"/>
          <w:szCs w:val="20"/>
        </w:rPr>
      </w:pPr>
    </w:p>
    <w:p w:rsidR="00BE4BD6" w:rsidRPr="00470480" w:rsidRDefault="00BE4BD6" w:rsidP="001E1B5B">
      <w:pPr>
        <w:spacing w:after="0"/>
        <w:jc w:val="both"/>
        <w:rPr>
          <w:rFonts w:ascii="Arial" w:hAnsi="Arial" w:cs="Arial"/>
          <w:b/>
          <w:bCs/>
          <w:color w:val="000000"/>
          <w:sz w:val="20"/>
          <w:szCs w:val="20"/>
        </w:rPr>
      </w:pPr>
    </w:p>
    <w:p w:rsidR="001E1B5B" w:rsidRPr="00470480" w:rsidRDefault="00BE4BD6" w:rsidP="001E1B5B">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(Variation Margin) Directions, 2022</w:t>
      </w:r>
    </w:p>
    <w:p w:rsidR="00BE4BD6" w:rsidRPr="00470480" w:rsidRDefault="00BE4BD6" w:rsidP="001E1B5B">
      <w:pPr>
        <w:spacing w:after="0"/>
        <w:jc w:val="both"/>
        <w:rPr>
          <w:rFonts w:ascii="Arial" w:hAnsi="Arial" w:cs="Arial"/>
          <w:b/>
          <w:bCs/>
          <w:color w:val="000000"/>
          <w:sz w:val="20"/>
          <w:szCs w:val="20"/>
        </w:rPr>
      </w:pPr>
    </w:p>
    <w:p w:rsidR="00BE4BD6" w:rsidRPr="00470480" w:rsidRDefault="00BE4BD6" w:rsidP="00BE4BD6">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RBI/2022-23/93</w:t>
      </w:r>
      <w:r w:rsidRPr="00470480">
        <w:rPr>
          <w:rFonts w:ascii="Arial" w:eastAsia="Times New Roman" w:hAnsi="Arial" w:cs="Arial"/>
          <w:color w:val="000000"/>
          <w:sz w:val="20"/>
          <w:szCs w:val="20"/>
          <w:lang w:eastAsia="en-IN"/>
        </w:rPr>
        <w:br/>
        <w:t>FMRD.DIRD.02/14.01.023/2022-23</w:t>
      </w:r>
    </w:p>
    <w:p w:rsidR="00BE4BD6" w:rsidRPr="00470480" w:rsidRDefault="00BE4BD6" w:rsidP="00BE4BD6">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June 01, 2022</w:t>
      </w:r>
    </w:p>
    <w:p w:rsidR="00BE4BD6" w:rsidRPr="00470480" w:rsidRDefault="00BE4BD6" w:rsidP="00BE4BD6">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To</w:t>
      </w:r>
    </w:p>
    <w:p w:rsidR="00BE4BD6" w:rsidRPr="00470480" w:rsidRDefault="00BE4BD6" w:rsidP="00BE4BD6">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All Eligible Market Participants</w:t>
      </w:r>
    </w:p>
    <w:p w:rsidR="00BE4BD6" w:rsidRPr="00470480" w:rsidRDefault="00BE4BD6" w:rsidP="00BE4BD6">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Madam/Sir</w:t>
      </w:r>
    </w:p>
    <w:p w:rsidR="00BE4BD6" w:rsidRPr="00470480" w:rsidRDefault="00BE4BD6" w:rsidP="00BE4BD6">
      <w:pPr>
        <w:spacing w:before="100" w:beforeAutospacing="1" w:after="100" w:afterAutospacing="1" w:line="240" w:lineRule="auto"/>
        <w:jc w:val="center"/>
        <w:rPr>
          <w:rFonts w:ascii="Arial" w:eastAsia="Times New Roman" w:hAnsi="Arial" w:cs="Arial"/>
          <w:b/>
          <w:bCs/>
          <w:color w:val="000000"/>
          <w:sz w:val="20"/>
          <w:szCs w:val="20"/>
          <w:lang w:eastAsia="en-IN"/>
        </w:rPr>
      </w:pPr>
      <w:r w:rsidRPr="00470480">
        <w:rPr>
          <w:rFonts w:ascii="Arial" w:eastAsia="Times New Roman" w:hAnsi="Arial" w:cs="Arial"/>
          <w:b/>
          <w:bCs/>
          <w:color w:val="000000"/>
          <w:sz w:val="20"/>
          <w:szCs w:val="20"/>
          <w:lang w:eastAsia="en-IN"/>
        </w:rPr>
        <w:t>Master Direction – Reserve Bank of India (Variation Margin) Directions, 2022</w:t>
      </w:r>
    </w:p>
    <w:p w:rsidR="00BE4BD6" w:rsidRPr="00470480" w:rsidRDefault="00BE4BD6" w:rsidP="00BE4BD6">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Please refer to Paragraph 10 of the </w:t>
      </w:r>
      <w:hyperlink r:id="rId60" w:tgtFrame="_blank" w:history="1">
        <w:r w:rsidRPr="00470480">
          <w:rPr>
            <w:rFonts w:ascii="Arial" w:eastAsia="Times New Roman" w:hAnsi="Arial" w:cs="Arial"/>
            <w:color w:val="0000FF"/>
            <w:sz w:val="20"/>
            <w:szCs w:val="20"/>
            <w:u w:val="single"/>
            <w:lang w:eastAsia="en-IN"/>
          </w:rPr>
          <w:t>Statement on Developmental and Regulatory Policies</w:t>
        </w:r>
      </w:hyperlink>
      <w:r w:rsidRPr="00470480">
        <w:rPr>
          <w:rFonts w:ascii="Arial" w:eastAsia="Times New Roman" w:hAnsi="Arial" w:cs="Arial"/>
          <w:color w:val="000000"/>
          <w:sz w:val="20"/>
          <w:szCs w:val="20"/>
          <w:lang w:eastAsia="en-IN"/>
        </w:rPr>
        <w:t> announced as a part of the </w:t>
      </w:r>
      <w:hyperlink r:id="rId61" w:tgtFrame="_blank" w:history="1">
        <w:r w:rsidRPr="00470480">
          <w:rPr>
            <w:rFonts w:ascii="Arial" w:eastAsia="Times New Roman" w:hAnsi="Arial" w:cs="Arial"/>
            <w:color w:val="0000FF"/>
            <w:sz w:val="20"/>
            <w:szCs w:val="20"/>
            <w:u w:val="single"/>
            <w:lang w:eastAsia="en-IN"/>
          </w:rPr>
          <w:t>Bi-monthly Monetary Policy Statement for 2019-20 dated February 06, 2020</w:t>
        </w:r>
      </w:hyperlink>
      <w:r w:rsidRPr="00470480">
        <w:rPr>
          <w:rFonts w:ascii="Arial" w:eastAsia="Times New Roman" w:hAnsi="Arial" w:cs="Arial"/>
          <w:color w:val="000000"/>
          <w:sz w:val="20"/>
          <w:szCs w:val="20"/>
          <w:lang w:eastAsia="en-IN"/>
        </w:rPr>
        <w:t>, on issuance of the Directions regarding exchange of variation margin (VM) for non-centrally cleared derivatives (NCCDs).</w:t>
      </w:r>
    </w:p>
    <w:p w:rsidR="00BE4BD6" w:rsidRPr="00470480" w:rsidRDefault="00BE4BD6" w:rsidP="00BE4BD6">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2. Accordingly, the draft Variation Margin (Reserve Bank) Directions, 2020 were released for public comments on </w:t>
      </w:r>
      <w:hyperlink r:id="rId62" w:tgtFrame="_blank" w:history="1">
        <w:r w:rsidRPr="00470480">
          <w:rPr>
            <w:rFonts w:ascii="Arial" w:eastAsia="Times New Roman" w:hAnsi="Arial" w:cs="Arial"/>
            <w:color w:val="0000FF"/>
            <w:sz w:val="20"/>
            <w:szCs w:val="20"/>
            <w:u w:val="single"/>
            <w:lang w:eastAsia="en-IN"/>
          </w:rPr>
          <w:t>September 07, 2020</w:t>
        </w:r>
      </w:hyperlink>
      <w:r w:rsidRPr="00470480">
        <w:rPr>
          <w:rFonts w:ascii="Arial" w:eastAsia="Times New Roman" w:hAnsi="Arial" w:cs="Arial"/>
          <w:color w:val="000000"/>
          <w:sz w:val="20"/>
          <w:szCs w:val="20"/>
          <w:lang w:eastAsia="en-IN"/>
        </w:rPr>
        <w:t>. Based on the feedback received from the market participants, the draft Directions were reviewed and have since been finalised. The Master Direction – Reserve Bank of India (Variation Margin) Directions, 2022 are </w:t>
      </w:r>
      <w:hyperlink r:id="rId63" w:anchor="enclosed" w:history="1">
        <w:r w:rsidRPr="00470480">
          <w:rPr>
            <w:rFonts w:ascii="Arial" w:eastAsia="Times New Roman" w:hAnsi="Arial" w:cs="Arial"/>
            <w:color w:val="0000FF"/>
            <w:sz w:val="20"/>
            <w:szCs w:val="20"/>
            <w:u w:val="single"/>
            <w:lang w:eastAsia="en-IN"/>
          </w:rPr>
          <w:t>enclosed</w:t>
        </w:r>
      </w:hyperlink>
      <w:r w:rsidRPr="00470480">
        <w:rPr>
          <w:rFonts w:ascii="Arial" w:eastAsia="Times New Roman" w:hAnsi="Arial" w:cs="Arial"/>
          <w:color w:val="000000"/>
          <w:sz w:val="20"/>
          <w:szCs w:val="20"/>
          <w:lang w:eastAsia="en-IN"/>
        </w:rPr>
        <w:t> herewith.</w:t>
      </w:r>
    </w:p>
    <w:p w:rsidR="00BE4BD6" w:rsidRPr="00470480" w:rsidRDefault="00BE4BD6" w:rsidP="00BE4BD6">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Yours faithfully,</w:t>
      </w:r>
    </w:p>
    <w:p w:rsidR="00BE4BD6" w:rsidRPr="00470480" w:rsidRDefault="00BE4BD6" w:rsidP="00BE4BD6">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(Dimple </w:t>
      </w:r>
      <w:proofErr w:type="spellStart"/>
      <w:r w:rsidRPr="00470480">
        <w:rPr>
          <w:rFonts w:ascii="Arial" w:eastAsia="Times New Roman" w:hAnsi="Arial" w:cs="Arial"/>
          <w:color w:val="000000"/>
          <w:sz w:val="20"/>
          <w:szCs w:val="20"/>
          <w:lang w:eastAsia="en-IN"/>
        </w:rPr>
        <w:t>Bhandia</w:t>
      </w:r>
      <w:proofErr w:type="spellEnd"/>
      <w:r w:rsidRPr="00470480">
        <w:rPr>
          <w:rFonts w:ascii="Arial" w:eastAsia="Times New Roman" w:hAnsi="Arial" w:cs="Arial"/>
          <w:color w:val="000000"/>
          <w:sz w:val="20"/>
          <w:szCs w:val="20"/>
          <w:lang w:eastAsia="en-IN"/>
        </w:rPr>
        <w:t>)</w:t>
      </w:r>
      <w:r w:rsidRPr="00470480">
        <w:rPr>
          <w:rFonts w:ascii="Arial" w:eastAsia="Times New Roman" w:hAnsi="Arial" w:cs="Arial"/>
          <w:color w:val="000000"/>
          <w:sz w:val="20"/>
          <w:szCs w:val="20"/>
          <w:lang w:eastAsia="en-IN"/>
        </w:rPr>
        <w:br/>
        <w:t>Chief General Manager</w:t>
      </w:r>
    </w:p>
    <w:p w:rsidR="00827FA7" w:rsidRDefault="00827FA7" w:rsidP="001E1B5B">
      <w:pPr>
        <w:spacing w:after="0"/>
        <w:jc w:val="both"/>
        <w:rPr>
          <w:rFonts w:ascii="Arial" w:hAnsi="Arial" w:cs="Arial"/>
          <w:sz w:val="20"/>
          <w:szCs w:val="20"/>
        </w:rPr>
      </w:pPr>
    </w:p>
    <w:p w:rsidR="00BA70DE" w:rsidRDefault="00BA70DE" w:rsidP="001E1B5B">
      <w:pPr>
        <w:spacing w:after="0"/>
        <w:jc w:val="both"/>
        <w:rPr>
          <w:rFonts w:ascii="Arial" w:hAnsi="Arial" w:cs="Arial"/>
          <w:sz w:val="20"/>
          <w:szCs w:val="20"/>
        </w:rPr>
      </w:pPr>
    </w:p>
    <w:p w:rsidR="00BA70DE" w:rsidRDefault="00BA70DE" w:rsidP="001E1B5B">
      <w:pPr>
        <w:spacing w:after="0"/>
        <w:jc w:val="both"/>
        <w:rPr>
          <w:rFonts w:ascii="Arial" w:hAnsi="Arial" w:cs="Arial"/>
          <w:sz w:val="20"/>
          <w:szCs w:val="20"/>
        </w:rPr>
      </w:pPr>
    </w:p>
    <w:p w:rsidR="00BE4BD6" w:rsidRPr="00470480" w:rsidRDefault="00827FA7" w:rsidP="001E1B5B">
      <w:pPr>
        <w:spacing w:after="0"/>
        <w:jc w:val="both"/>
        <w:rPr>
          <w:rFonts w:ascii="Arial" w:hAnsi="Arial" w:cs="Arial"/>
          <w:sz w:val="20"/>
          <w:szCs w:val="20"/>
        </w:rPr>
      </w:pPr>
      <w:r>
        <w:rPr>
          <w:rFonts w:ascii="Arial" w:hAnsi="Arial" w:cs="Arial"/>
          <w:sz w:val="20"/>
          <w:szCs w:val="20"/>
        </w:rPr>
        <w:t xml:space="preserve">For the detailed Master Direction - </w:t>
      </w:r>
      <w:r w:rsidRPr="00827FA7">
        <w:rPr>
          <w:rFonts w:ascii="Arial" w:hAnsi="Arial" w:cs="Arial"/>
          <w:sz w:val="20"/>
          <w:szCs w:val="20"/>
        </w:rPr>
        <w:t>Reserve Bank of India (Variation Margin) Directions, 2022</w:t>
      </w:r>
      <w:r>
        <w:rPr>
          <w:rFonts w:ascii="Arial" w:hAnsi="Arial" w:cs="Arial"/>
          <w:sz w:val="20"/>
          <w:szCs w:val="20"/>
        </w:rPr>
        <w:t>, please refer to the link below.</w:t>
      </w:r>
    </w:p>
    <w:p w:rsidR="00311876" w:rsidRDefault="00311876" w:rsidP="001E1B5B">
      <w:pPr>
        <w:spacing w:after="0"/>
        <w:jc w:val="both"/>
        <w:rPr>
          <w:rFonts w:ascii="Arial" w:hAnsi="Arial" w:cs="Arial"/>
          <w:sz w:val="20"/>
          <w:szCs w:val="20"/>
        </w:rPr>
      </w:pPr>
    </w:p>
    <w:p w:rsidR="001E1B5B" w:rsidRPr="00470480" w:rsidRDefault="00BE4BD6" w:rsidP="001E1B5B">
      <w:pPr>
        <w:spacing w:after="0"/>
        <w:jc w:val="both"/>
        <w:rPr>
          <w:rFonts w:ascii="Arial" w:hAnsi="Arial" w:cs="Arial"/>
          <w:sz w:val="20"/>
          <w:szCs w:val="20"/>
        </w:rPr>
      </w:pPr>
      <w:r w:rsidRPr="00470480">
        <w:rPr>
          <w:rFonts w:ascii="Arial" w:hAnsi="Arial" w:cs="Arial"/>
          <w:sz w:val="20"/>
          <w:szCs w:val="20"/>
        </w:rPr>
        <w:t xml:space="preserve">Reference Link: </w:t>
      </w:r>
      <w:hyperlink r:id="rId64" w:history="1">
        <w:r w:rsidRPr="00470480">
          <w:rPr>
            <w:rStyle w:val="Hyperlink"/>
            <w:rFonts w:ascii="Arial" w:hAnsi="Arial" w:cs="Arial"/>
            <w:sz w:val="20"/>
            <w:szCs w:val="20"/>
          </w:rPr>
          <w:t>https://www.rbi.org.in/Scripts/NotificationUser.aspx?Id=12328&amp;Mode=0</w:t>
        </w:r>
      </w:hyperlink>
    </w:p>
    <w:p w:rsidR="00BE4BD6" w:rsidRPr="00470480" w:rsidRDefault="00BE4BD6" w:rsidP="001E1B5B">
      <w:pPr>
        <w:spacing w:after="0"/>
        <w:jc w:val="both"/>
        <w:rPr>
          <w:rFonts w:ascii="Arial" w:hAnsi="Arial" w:cs="Arial"/>
          <w:sz w:val="20"/>
          <w:szCs w:val="20"/>
        </w:rPr>
      </w:pPr>
    </w:p>
    <w:p w:rsidR="00BE4BD6" w:rsidRPr="00470480" w:rsidRDefault="00BE4BD6" w:rsidP="001E1B5B">
      <w:pPr>
        <w:spacing w:after="0"/>
        <w:jc w:val="both"/>
        <w:rPr>
          <w:rFonts w:ascii="Arial" w:hAnsi="Arial" w:cs="Arial"/>
          <w:sz w:val="20"/>
          <w:szCs w:val="20"/>
        </w:rPr>
      </w:pPr>
    </w:p>
    <w:p w:rsidR="00BE4BD6" w:rsidRPr="00470480" w:rsidRDefault="00BE4BD6" w:rsidP="001E1B5B">
      <w:pPr>
        <w:spacing w:after="0"/>
        <w:jc w:val="both"/>
        <w:rPr>
          <w:rFonts w:ascii="Arial" w:hAnsi="Arial" w:cs="Arial"/>
          <w:sz w:val="20"/>
          <w:szCs w:val="20"/>
        </w:rPr>
      </w:pPr>
    </w:p>
    <w:p w:rsidR="00BE4BD6" w:rsidRPr="00470480" w:rsidRDefault="00BE4BD6" w:rsidP="001E1B5B">
      <w:pPr>
        <w:spacing w:after="0"/>
        <w:jc w:val="both"/>
        <w:rPr>
          <w:rFonts w:ascii="Arial" w:hAnsi="Arial" w:cs="Arial"/>
          <w:sz w:val="20"/>
          <w:szCs w:val="20"/>
        </w:rPr>
      </w:pPr>
    </w:p>
    <w:p w:rsidR="00BE4BD6" w:rsidRPr="00470480" w:rsidRDefault="00BE4BD6" w:rsidP="001E1B5B">
      <w:pPr>
        <w:spacing w:after="0"/>
        <w:jc w:val="both"/>
        <w:rPr>
          <w:rFonts w:ascii="Arial" w:hAnsi="Arial" w:cs="Arial"/>
          <w:sz w:val="20"/>
          <w:szCs w:val="20"/>
        </w:rPr>
      </w:pPr>
    </w:p>
    <w:p w:rsidR="00BE4BD6" w:rsidRPr="00470480" w:rsidRDefault="00BE4BD6" w:rsidP="001E1B5B">
      <w:pPr>
        <w:spacing w:after="0"/>
        <w:jc w:val="both"/>
        <w:rPr>
          <w:rFonts w:ascii="Arial" w:hAnsi="Arial" w:cs="Arial"/>
          <w:sz w:val="20"/>
          <w:szCs w:val="20"/>
        </w:rPr>
      </w:pPr>
    </w:p>
    <w:p w:rsidR="00BE4BD6" w:rsidRPr="00470480" w:rsidRDefault="00BE4BD6" w:rsidP="001E1B5B">
      <w:pPr>
        <w:spacing w:after="0"/>
        <w:jc w:val="both"/>
        <w:rPr>
          <w:rFonts w:ascii="Arial" w:hAnsi="Arial" w:cs="Arial"/>
          <w:sz w:val="20"/>
          <w:szCs w:val="20"/>
        </w:rPr>
      </w:pPr>
    </w:p>
    <w:p w:rsidR="00BE4BD6" w:rsidRPr="00470480" w:rsidRDefault="00BE4BD6" w:rsidP="001E1B5B">
      <w:pPr>
        <w:spacing w:after="0"/>
        <w:jc w:val="both"/>
        <w:rPr>
          <w:rFonts w:ascii="Arial" w:hAnsi="Arial" w:cs="Arial"/>
          <w:sz w:val="20"/>
          <w:szCs w:val="20"/>
        </w:rPr>
      </w:pPr>
    </w:p>
    <w:p w:rsidR="00BE4BD6" w:rsidRPr="00470480" w:rsidRDefault="00BE4BD6" w:rsidP="001E1B5B">
      <w:pPr>
        <w:spacing w:after="0"/>
        <w:jc w:val="both"/>
        <w:rPr>
          <w:rFonts w:ascii="Arial" w:hAnsi="Arial" w:cs="Arial"/>
          <w:sz w:val="20"/>
          <w:szCs w:val="20"/>
        </w:rPr>
      </w:pPr>
    </w:p>
    <w:p w:rsidR="00BE4BD6" w:rsidRPr="00470480" w:rsidRDefault="00BE4BD6" w:rsidP="001E1B5B">
      <w:pPr>
        <w:spacing w:after="0"/>
        <w:jc w:val="both"/>
        <w:rPr>
          <w:rFonts w:ascii="Arial" w:hAnsi="Arial" w:cs="Arial"/>
          <w:sz w:val="20"/>
          <w:szCs w:val="20"/>
        </w:rPr>
      </w:pPr>
    </w:p>
    <w:p w:rsidR="00BE4BD6" w:rsidRPr="00470480" w:rsidRDefault="00BE4BD6" w:rsidP="001E1B5B">
      <w:pPr>
        <w:spacing w:after="0"/>
        <w:jc w:val="both"/>
        <w:rPr>
          <w:rFonts w:ascii="Arial" w:hAnsi="Arial" w:cs="Arial"/>
          <w:sz w:val="20"/>
          <w:szCs w:val="20"/>
        </w:rPr>
      </w:pPr>
    </w:p>
    <w:p w:rsidR="00BE4BD6" w:rsidRPr="00470480" w:rsidRDefault="00BE4BD6" w:rsidP="001E1B5B">
      <w:pPr>
        <w:spacing w:after="0"/>
        <w:jc w:val="both"/>
        <w:rPr>
          <w:rFonts w:ascii="Arial" w:hAnsi="Arial" w:cs="Arial"/>
          <w:sz w:val="20"/>
          <w:szCs w:val="20"/>
        </w:rPr>
      </w:pPr>
    </w:p>
    <w:p w:rsidR="00470480" w:rsidRDefault="00470480" w:rsidP="001E1B5B">
      <w:pPr>
        <w:spacing w:after="0"/>
        <w:jc w:val="both"/>
        <w:rPr>
          <w:rFonts w:ascii="Arial" w:hAnsi="Arial" w:cs="Arial"/>
          <w:b/>
          <w:bCs/>
          <w:color w:val="000000"/>
          <w:sz w:val="20"/>
          <w:szCs w:val="20"/>
        </w:rPr>
      </w:pPr>
    </w:p>
    <w:p w:rsidR="00470480" w:rsidRDefault="00470480" w:rsidP="001E1B5B">
      <w:pPr>
        <w:spacing w:after="0"/>
        <w:jc w:val="both"/>
        <w:rPr>
          <w:rFonts w:ascii="Arial" w:hAnsi="Arial" w:cs="Arial"/>
          <w:b/>
          <w:bCs/>
          <w:color w:val="000000"/>
          <w:sz w:val="20"/>
          <w:szCs w:val="20"/>
        </w:rPr>
      </w:pPr>
    </w:p>
    <w:p w:rsidR="00827FA7" w:rsidRDefault="00827FA7" w:rsidP="001E1B5B">
      <w:pPr>
        <w:spacing w:after="0"/>
        <w:jc w:val="both"/>
        <w:rPr>
          <w:rFonts w:ascii="Arial" w:hAnsi="Arial" w:cs="Arial"/>
          <w:b/>
          <w:bCs/>
          <w:color w:val="000000"/>
          <w:sz w:val="20"/>
          <w:szCs w:val="20"/>
        </w:rPr>
      </w:pPr>
    </w:p>
    <w:p w:rsidR="00827FA7" w:rsidRDefault="00827FA7" w:rsidP="001E1B5B">
      <w:pPr>
        <w:spacing w:after="0"/>
        <w:jc w:val="both"/>
        <w:rPr>
          <w:rFonts w:ascii="Arial" w:hAnsi="Arial" w:cs="Arial"/>
          <w:b/>
          <w:bCs/>
          <w:color w:val="000000"/>
          <w:sz w:val="20"/>
          <w:szCs w:val="20"/>
        </w:rPr>
      </w:pPr>
    </w:p>
    <w:p w:rsidR="00827FA7" w:rsidRDefault="00827FA7" w:rsidP="001E1B5B">
      <w:pPr>
        <w:spacing w:after="0"/>
        <w:jc w:val="both"/>
        <w:rPr>
          <w:rFonts w:ascii="Arial" w:hAnsi="Arial" w:cs="Arial"/>
          <w:b/>
          <w:bCs/>
          <w:color w:val="000000"/>
          <w:sz w:val="20"/>
          <w:szCs w:val="20"/>
        </w:rPr>
      </w:pPr>
    </w:p>
    <w:p w:rsidR="00827FA7" w:rsidRDefault="00827FA7" w:rsidP="001E1B5B">
      <w:pPr>
        <w:spacing w:after="0"/>
        <w:jc w:val="both"/>
        <w:rPr>
          <w:rFonts w:ascii="Arial" w:hAnsi="Arial" w:cs="Arial"/>
          <w:b/>
          <w:bCs/>
          <w:color w:val="000000"/>
          <w:sz w:val="20"/>
          <w:szCs w:val="20"/>
        </w:rPr>
      </w:pPr>
    </w:p>
    <w:p w:rsidR="00BE4BD6" w:rsidRPr="00470480" w:rsidRDefault="00BE4BD6" w:rsidP="001E1B5B">
      <w:pPr>
        <w:spacing w:after="0"/>
        <w:jc w:val="both"/>
        <w:rPr>
          <w:rFonts w:ascii="Arial" w:hAnsi="Arial" w:cs="Arial"/>
          <w:b/>
          <w:bCs/>
          <w:color w:val="000000"/>
          <w:sz w:val="20"/>
          <w:szCs w:val="20"/>
        </w:rPr>
      </w:pPr>
      <w:r w:rsidRPr="00470480">
        <w:rPr>
          <w:rFonts w:ascii="Arial" w:hAnsi="Arial" w:cs="Arial"/>
          <w:b/>
          <w:bCs/>
          <w:color w:val="000000"/>
          <w:sz w:val="20"/>
          <w:szCs w:val="20"/>
        </w:rPr>
        <w:t>Interest Equalization Scheme (IES) on Pre and Post Shipment Rupee Export Credit – Extension</w:t>
      </w:r>
    </w:p>
    <w:p w:rsidR="00BE4BD6" w:rsidRPr="00470480" w:rsidRDefault="00BE4BD6" w:rsidP="001E1B5B">
      <w:pPr>
        <w:spacing w:after="0"/>
        <w:jc w:val="both"/>
        <w:rPr>
          <w:rFonts w:ascii="Arial" w:hAnsi="Arial" w:cs="Arial"/>
          <w:b/>
          <w:bCs/>
          <w:color w:val="000000"/>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RBI/2022-23/60</w:t>
      </w: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DOR.STR.REC.39/04.02.001/2022-23</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May 31, 2022</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All Scheduled Commercial Banks (excluding RRBs),</w:t>
      </w: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Small Finance Banks,</w:t>
      </w: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 xml:space="preserve">Primary (Urban) Cooperative Banks &amp; State Cooperative Banks (scheduled banks having AD </w:t>
      </w:r>
      <w:proofErr w:type="gramStart"/>
      <w:r w:rsidRPr="00470480">
        <w:rPr>
          <w:rFonts w:ascii="Arial" w:hAnsi="Arial" w:cs="Arial"/>
          <w:sz w:val="20"/>
          <w:szCs w:val="20"/>
        </w:rPr>
        <w:t>category</w:t>
      </w:r>
      <w:proofErr w:type="gramEnd"/>
      <w:r w:rsidRPr="00470480">
        <w:rPr>
          <w:rFonts w:ascii="Arial" w:hAnsi="Arial" w:cs="Arial"/>
          <w:sz w:val="20"/>
          <w:szCs w:val="20"/>
        </w:rPr>
        <w:t xml:space="preserve">-I license), </w:t>
      </w:r>
      <w:proofErr w:type="spellStart"/>
      <w:r w:rsidRPr="00470480">
        <w:rPr>
          <w:rFonts w:ascii="Arial" w:hAnsi="Arial" w:cs="Arial"/>
          <w:sz w:val="20"/>
          <w:szCs w:val="20"/>
        </w:rPr>
        <w:t>andExim</w:t>
      </w:r>
      <w:proofErr w:type="spellEnd"/>
      <w:r w:rsidRPr="00470480">
        <w:rPr>
          <w:rFonts w:ascii="Arial" w:hAnsi="Arial" w:cs="Arial"/>
          <w:sz w:val="20"/>
          <w:szCs w:val="20"/>
        </w:rPr>
        <w:t xml:space="preserve"> Bank</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Dear Sir / Madam,</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Interest Equalization Scheme (IES) on Pre and Post Shipment Rupee Export Credit - Extension</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Please refer to paragraph 2.4 of the circular No. DOR.STR.REC.93/04.02.001/2021-22 dated March 8, 2022, wherein it was stated that the extended IES would not be available to those beneficiaries who were availing of the benefit under any Production Linked Incentive (PLI) scheme of the Government.</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2. In this regard, Government has issued a clarification that the extended IES will also be available to such beneficiaries for segments other than for which they have availed of PLI benefits.</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3. It is further advised that banks shall obtain a Self-Declaration under the IES from the exporters as per the format given in the Annex.</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4. These provisions shall be deemed effective from October 1, 2021. Other provisions of the aforesaid circular shall remain unchanged.</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Yours faithfully</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Chief General Manager</w:t>
      </w:r>
    </w:p>
    <w:p w:rsidR="00BE4BD6" w:rsidRPr="00470480" w:rsidRDefault="00BE4BD6" w:rsidP="00BE4BD6">
      <w:pPr>
        <w:spacing w:after="0"/>
        <w:jc w:val="both"/>
        <w:rPr>
          <w:rFonts w:ascii="Arial" w:hAnsi="Arial" w:cs="Arial"/>
          <w:sz w:val="20"/>
          <w:szCs w:val="20"/>
        </w:rPr>
      </w:pPr>
    </w:p>
    <w:p w:rsidR="00AC68C8" w:rsidRDefault="00AC68C8" w:rsidP="00BE4BD6">
      <w:pPr>
        <w:spacing w:after="0"/>
        <w:jc w:val="both"/>
        <w:rPr>
          <w:rFonts w:ascii="Arial" w:hAnsi="Arial" w:cs="Arial"/>
          <w:sz w:val="20"/>
          <w:szCs w:val="20"/>
        </w:rPr>
      </w:pPr>
    </w:p>
    <w:p w:rsidR="00AC68C8" w:rsidRDefault="00AC68C8" w:rsidP="00BE4BD6">
      <w:pPr>
        <w:spacing w:after="0"/>
        <w:jc w:val="both"/>
        <w:rPr>
          <w:rFonts w:ascii="Arial" w:hAnsi="Arial" w:cs="Arial"/>
          <w:sz w:val="20"/>
          <w:szCs w:val="20"/>
        </w:rPr>
      </w:pPr>
    </w:p>
    <w:p w:rsidR="00AC68C8" w:rsidRDefault="00AC68C8"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65" w:history="1">
        <w:r w:rsidRPr="00470480">
          <w:rPr>
            <w:rStyle w:val="Hyperlink"/>
            <w:rFonts w:ascii="Arial" w:hAnsi="Arial" w:cs="Arial"/>
            <w:sz w:val="20"/>
            <w:szCs w:val="20"/>
          </w:rPr>
          <w:t>https://www.rbi.org.in/Scripts/NotificationUser.aspx?Id=12327&amp;Mode=0</w:t>
        </w:r>
      </w:hyperlink>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470480" w:rsidRDefault="00470480" w:rsidP="00BE4BD6">
      <w:pPr>
        <w:spacing w:after="0"/>
        <w:jc w:val="both"/>
        <w:rPr>
          <w:rFonts w:ascii="Arial" w:hAnsi="Arial" w:cs="Arial"/>
          <w:b/>
          <w:bCs/>
          <w:color w:val="000000"/>
          <w:sz w:val="20"/>
          <w:szCs w:val="20"/>
        </w:rPr>
      </w:pPr>
    </w:p>
    <w:p w:rsidR="00470480" w:rsidRDefault="00470480" w:rsidP="00BE4BD6">
      <w:pPr>
        <w:spacing w:after="0"/>
        <w:jc w:val="both"/>
        <w:rPr>
          <w:rFonts w:ascii="Arial" w:hAnsi="Arial" w:cs="Arial"/>
          <w:b/>
          <w:bCs/>
          <w:color w:val="000000"/>
          <w:sz w:val="20"/>
          <w:szCs w:val="20"/>
        </w:rPr>
      </w:pPr>
    </w:p>
    <w:p w:rsidR="00470480" w:rsidRDefault="00470480" w:rsidP="00BE4BD6">
      <w:pPr>
        <w:spacing w:after="0"/>
        <w:jc w:val="both"/>
        <w:rPr>
          <w:rFonts w:ascii="Arial" w:hAnsi="Arial" w:cs="Arial"/>
          <w:b/>
          <w:bCs/>
          <w:color w:val="000000"/>
          <w:sz w:val="20"/>
          <w:szCs w:val="20"/>
        </w:rPr>
      </w:pPr>
    </w:p>
    <w:p w:rsidR="00470480" w:rsidRDefault="00470480" w:rsidP="00BE4BD6">
      <w:pPr>
        <w:spacing w:after="0"/>
        <w:jc w:val="both"/>
        <w:rPr>
          <w:rFonts w:ascii="Arial" w:hAnsi="Arial" w:cs="Arial"/>
          <w:b/>
          <w:bCs/>
          <w:color w:val="000000"/>
          <w:sz w:val="20"/>
          <w:szCs w:val="20"/>
        </w:rPr>
      </w:pPr>
    </w:p>
    <w:p w:rsidR="00470480" w:rsidRDefault="00470480" w:rsidP="00BE4BD6">
      <w:pPr>
        <w:spacing w:after="0"/>
        <w:jc w:val="both"/>
        <w:rPr>
          <w:rFonts w:ascii="Arial" w:hAnsi="Arial" w:cs="Arial"/>
          <w:b/>
          <w:bCs/>
          <w:color w:val="000000"/>
          <w:sz w:val="20"/>
          <w:szCs w:val="20"/>
        </w:rPr>
      </w:pPr>
    </w:p>
    <w:p w:rsidR="00BE4BD6" w:rsidRPr="00470480" w:rsidRDefault="00BE4BD6"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Bharat Bill Payment System – Amendment to guidelines</w:t>
      </w:r>
    </w:p>
    <w:p w:rsidR="00BE4BD6" w:rsidRPr="00470480" w:rsidRDefault="00BE4BD6" w:rsidP="00BE4BD6">
      <w:pPr>
        <w:spacing w:after="0"/>
        <w:jc w:val="both"/>
        <w:rPr>
          <w:rFonts w:ascii="Arial" w:hAnsi="Arial" w:cs="Arial"/>
          <w:b/>
          <w:bCs/>
          <w:color w:val="000000"/>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RBI/2022-2023/58</w:t>
      </w:r>
    </w:p>
    <w:p w:rsidR="00BE4BD6" w:rsidRPr="00470480" w:rsidRDefault="00BE4BD6" w:rsidP="00BE4BD6">
      <w:pPr>
        <w:spacing w:after="0"/>
        <w:jc w:val="both"/>
        <w:rPr>
          <w:rFonts w:ascii="Arial" w:hAnsi="Arial" w:cs="Arial"/>
          <w:sz w:val="20"/>
          <w:szCs w:val="20"/>
        </w:rPr>
      </w:pPr>
      <w:proofErr w:type="spellStart"/>
      <w:r w:rsidRPr="00470480">
        <w:rPr>
          <w:rFonts w:ascii="Arial" w:hAnsi="Arial" w:cs="Arial"/>
          <w:sz w:val="20"/>
          <w:szCs w:val="20"/>
        </w:rPr>
        <w:t>CO.DPSS.POLC.No</w:t>
      </w:r>
      <w:proofErr w:type="spellEnd"/>
      <w:r w:rsidRPr="00470480">
        <w:rPr>
          <w:rFonts w:ascii="Arial" w:hAnsi="Arial" w:cs="Arial"/>
          <w:sz w:val="20"/>
          <w:szCs w:val="20"/>
        </w:rPr>
        <w:t>. S-253/02-27-020/2022-23</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May 26, 2022</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The Chairman and Managing Director / Chief Executive Officer</w:t>
      </w: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 xml:space="preserve">NPCI Bharat </w:t>
      </w:r>
      <w:proofErr w:type="spellStart"/>
      <w:r w:rsidRPr="00470480">
        <w:rPr>
          <w:rFonts w:ascii="Arial" w:hAnsi="Arial" w:cs="Arial"/>
          <w:sz w:val="20"/>
          <w:szCs w:val="20"/>
        </w:rPr>
        <w:t>BillPay</w:t>
      </w:r>
      <w:proofErr w:type="spellEnd"/>
      <w:r w:rsidRPr="00470480">
        <w:rPr>
          <w:rFonts w:ascii="Arial" w:hAnsi="Arial" w:cs="Arial"/>
          <w:sz w:val="20"/>
          <w:szCs w:val="20"/>
        </w:rPr>
        <w:t xml:space="preserve"> Ltd. / Bharat Bill Payment System Providers /</w:t>
      </w: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Participants and prospective Bharat Bill Payment Operating Units</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Madam / Dear Sir,</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Bharat Bill Payment System – Amendment to guidelines</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 xml:space="preserve">This has reference to the guidelines on Bharat Bill Payment System (BBPS) issued by the Reserve Bank of India (RBI) vide circular </w:t>
      </w:r>
      <w:proofErr w:type="gramStart"/>
      <w:r w:rsidRPr="00470480">
        <w:rPr>
          <w:rFonts w:ascii="Arial" w:hAnsi="Arial" w:cs="Arial"/>
          <w:sz w:val="20"/>
          <w:szCs w:val="20"/>
        </w:rPr>
        <w:t>DPSS.CO.PD.No.</w:t>
      </w:r>
      <w:proofErr w:type="gramEnd"/>
      <w:r w:rsidRPr="00470480">
        <w:rPr>
          <w:rFonts w:ascii="Arial" w:hAnsi="Arial" w:cs="Arial"/>
          <w:sz w:val="20"/>
          <w:szCs w:val="20"/>
        </w:rPr>
        <w:t xml:space="preserve">940/02.27.020/2014-2015 dated November 28, 2014. As announced in the Statement on Development and Regulatory Policies dated April 08, 2022, the minimum net-worth requirement for non-bank Bharat Bill Payment Operating Units (BBPOUs) stands reduced to ₹25 </w:t>
      </w:r>
      <w:proofErr w:type="gramStart"/>
      <w:r w:rsidRPr="00470480">
        <w:rPr>
          <w:rFonts w:ascii="Arial" w:hAnsi="Arial" w:cs="Arial"/>
          <w:sz w:val="20"/>
          <w:szCs w:val="20"/>
        </w:rPr>
        <w:t>crore</w:t>
      </w:r>
      <w:proofErr w:type="gramEnd"/>
      <w:r w:rsidRPr="00470480">
        <w:rPr>
          <w:rFonts w:ascii="Arial" w:hAnsi="Arial" w:cs="Arial"/>
          <w:sz w:val="20"/>
          <w:szCs w:val="20"/>
        </w:rPr>
        <w:t>. The BBPS guidelines have been suitably amended.</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2. This circular is issued under Section 10 (2) read with Section 18 of the Payment and Settlement Systems Act, 2007 (Act 51 of 2007), and shall come into effect immediately.</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Yours faithfully,</w:t>
      </w: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 xml:space="preserve">(P. </w:t>
      </w:r>
      <w:proofErr w:type="spellStart"/>
      <w:r w:rsidRPr="00470480">
        <w:rPr>
          <w:rFonts w:ascii="Arial" w:hAnsi="Arial" w:cs="Arial"/>
          <w:sz w:val="20"/>
          <w:szCs w:val="20"/>
        </w:rPr>
        <w:t>Vasudevan</w:t>
      </w:r>
      <w:proofErr w:type="spellEnd"/>
      <w:r w:rsidRPr="00470480">
        <w:rPr>
          <w:rFonts w:ascii="Arial" w:hAnsi="Arial" w:cs="Arial"/>
          <w:sz w:val="20"/>
          <w:szCs w:val="20"/>
        </w:rPr>
        <w:t>)</w:t>
      </w: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Chief General Manager</w:t>
      </w:r>
    </w:p>
    <w:p w:rsidR="00BE4BD6" w:rsidRPr="00470480" w:rsidRDefault="00BE4BD6" w:rsidP="00BE4BD6">
      <w:pPr>
        <w:spacing w:after="0"/>
        <w:jc w:val="both"/>
        <w:rPr>
          <w:rFonts w:ascii="Arial" w:hAnsi="Arial" w:cs="Arial"/>
          <w:sz w:val="20"/>
          <w:szCs w:val="20"/>
        </w:rPr>
      </w:pPr>
    </w:p>
    <w:p w:rsidR="00AC68C8" w:rsidRDefault="00AC68C8" w:rsidP="00BE4BD6">
      <w:pPr>
        <w:spacing w:after="0"/>
        <w:jc w:val="both"/>
        <w:rPr>
          <w:rFonts w:ascii="Arial" w:hAnsi="Arial" w:cs="Arial"/>
          <w:sz w:val="20"/>
          <w:szCs w:val="20"/>
        </w:rPr>
      </w:pPr>
    </w:p>
    <w:p w:rsidR="00AC68C8" w:rsidRDefault="00AC68C8" w:rsidP="00BE4BD6">
      <w:pPr>
        <w:spacing w:after="0"/>
        <w:jc w:val="both"/>
        <w:rPr>
          <w:rFonts w:ascii="Arial" w:hAnsi="Arial" w:cs="Arial"/>
          <w:sz w:val="20"/>
          <w:szCs w:val="20"/>
        </w:rPr>
      </w:pPr>
    </w:p>
    <w:p w:rsidR="00AC68C8" w:rsidRDefault="00AC68C8"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66" w:history="1">
        <w:r w:rsidRPr="00470480">
          <w:rPr>
            <w:rStyle w:val="Hyperlink"/>
            <w:rFonts w:ascii="Arial" w:hAnsi="Arial" w:cs="Arial"/>
            <w:sz w:val="20"/>
            <w:szCs w:val="20"/>
          </w:rPr>
          <w:t>https://www.rbi.org.in/Scripts/NotificationUser.aspx?Id=12325&amp;Mode=0</w:t>
        </w:r>
      </w:hyperlink>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470480" w:rsidRDefault="00470480" w:rsidP="00BE4BD6">
      <w:pPr>
        <w:spacing w:after="0"/>
        <w:jc w:val="both"/>
        <w:rPr>
          <w:rFonts w:ascii="Arial" w:hAnsi="Arial" w:cs="Arial"/>
          <w:b/>
          <w:bCs/>
          <w:color w:val="000000"/>
          <w:sz w:val="20"/>
          <w:szCs w:val="20"/>
        </w:rPr>
      </w:pPr>
    </w:p>
    <w:p w:rsidR="00470480" w:rsidRDefault="00470480" w:rsidP="00BE4BD6">
      <w:pPr>
        <w:spacing w:after="0"/>
        <w:jc w:val="both"/>
        <w:rPr>
          <w:rFonts w:ascii="Arial" w:hAnsi="Arial" w:cs="Arial"/>
          <w:b/>
          <w:bCs/>
          <w:color w:val="000000"/>
          <w:sz w:val="20"/>
          <w:szCs w:val="20"/>
        </w:rPr>
      </w:pPr>
    </w:p>
    <w:p w:rsidR="00470480" w:rsidRDefault="00470480" w:rsidP="00BE4BD6">
      <w:pPr>
        <w:spacing w:after="0"/>
        <w:jc w:val="both"/>
        <w:rPr>
          <w:rFonts w:ascii="Arial" w:hAnsi="Arial" w:cs="Arial"/>
          <w:b/>
          <w:bCs/>
          <w:color w:val="000000"/>
          <w:sz w:val="20"/>
          <w:szCs w:val="20"/>
        </w:rPr>
      </w:pPr>
    </w:p>
    <w:p w:rsidR="00AC68C8" w:rsidRDefault="00AC68C8" w:rsidP="00BE4BD6">
      <w:pPr>
        <w:spacing w:after="0"/>
        <w:jc w:val="both"/>
        <w:rPr>
          <w:rFonts w:ascii="Arial" w:hAnsi="Arial" w:cs="Arial"/>
          <w:b/>
          <w:bCs/>
          <w:color w:val="000000"/>
          <w:sz w:val="20"/>
          <w:szCs w:val="20"/>
        </w:rPr>
      </w:pPr>
    </w:p>
    <w:p w:rsidR="00BE4BD6" w:rsidRPr="00470480" w:rsidRDefault="00BE4BD6"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 xml:space="preserve">Guidelines on import of gold by Qualified Jewellers as notified by – The International Financial Services </w:t>
      </w:r>
      <w:proofErr w:type="spellStart"/>
      <w:r w:rsidRPr="00470480">
        <w:rPr>
          <w:rFonts w:ascii="Arial" w:hAnsi="Arial" w:cs="Arial"/>
          <w:b/>
          <w:bCs/>
          <w:color w:val="000000"/>
          <w:sz w:val="20"/>
          <w:szCs w:val="20"/>
        </w:rPr>
        <w:t>Centers</w:t>
      </w:r>
      <w:proofErr w:type="spellEnd"/>
      <w:r w:rsidRPr="00470480">
        <w:rPr>
          <w:rFonts w:ascii="Arial" w:hAnsi="Arial" w:cs="Arial"/>
          <w:b/>
          <w:bCs/>
          <w:color w:val="000000"/>
          <w:sz w:val="20"/>
          <w:szCs w:val="20"/>
        </w:rPr>
        <w:t xml:space="preserve"> Authority (IFSCA)</w:t>
      </w:r>
    </w:p>
    <w:p w:rsidR="00BE4BD6" w:rsidRPr="00470480" w:rsidRDefault="00BE4BD6" w:rsidP="00BE4BD6">
      <w:pPr>
        <w:spacing w:after="0"/>
        <w:jc w:val="both"/>
        <w:rPr>
          <w:rFonts w:ascii="Arial" w:hAnsi="Arial" w:cs="Arial"/>
          <w:b/>
          <w:bCs/>
          <w:color w:val="000000"/>
          <w:sz w:val="20"/>
          <w:szCs w:val="20"/>
        </w:rPr>
      </w:pPr>
    </w:p>
    <w:p w:rsidR="00BE4BD6" w:rsidRPr="00470480" w:rsidRDefault="00BE4BD6" w:rsidP="005B3A67">
      <w:pPr>
        <w:pStyle w:val="NormalWeb"/>
        <w:rPr>
          <w:rFonts w:ascii="Arial" w:hAnsi="Arial" w:cs="Arial"/>
          <w:sz w:val="20"/>
          <w:szCs w:val="20"/>
        </w:rPr>
      </w:pPr>
      <w:r w:rsidRPr="00470480">
        <w:rPr>
          <w:rFonts w:ascii="Arial" w:hAnsi="Arial" w:cs="Arial"/>
          <w:sz w:val="20"/>
          <w:szCs w:val="20"/>
        </w:rPr>
        <w:t>RBI/2022-2023/57</w:t>
      </w:r>
      <w:r w:rsidRPr="00470480">
        <w:rPr>
          <w:rFonts w:ascii="Arial" w:hAnsi="Arial" w:cs="Arial"/>
          <w:sz w:val="20"/>
          <w:szCs w:val="20"/>
        </w:rPr>
        <w:br/>
        <w:t>A.P. (DIR Series) Circular No.04</w:t>
      </w:r>
    </w:p>
    <w:p w:rsidR="00BE4BD6" w:rsidRPr="00470480" w:rsidRDefault="00BE4BD6" w:rsidP="005B3A67">
      <w:pPr>
        <w:pStyle w:val="NormalWeb"/>
        <w:rPr>
          <w:rFonts w:ascii="Arial" w:hAnsi="Arial" w:cs="Arial"/>
          <w:sz w:val="20"/>
          <w:szCs w:val="20"/>
        </w:rPr>
      </w:pPr>
      <w:r w:rsidRPr="00470480">
        <w:rPr>
          <w:rFonts w:ascii="Arial" w:hAnsi="Arial" w:cs="Arial"/>
          <w:sz w:val="20"/>
          <w:szCs w:val="20"/>
        </w:rPr>
        <w:t>May 25, 2022</w:t>
      </w:r>
    </w:p>
    <w:p w:rsidR="00BE4BD6" w:rsidRPr="00470480" w:rsidRDefault="00BE4BD6" w:rsidP="005B3A67">
      <w:pPr>
        <w:pStyle w:val="NormalWeb"/>
        <w:rPr>
          <w:rFonts w:ascii="Arial" w:hAnsi="Arial" w:cs="Arial"/>
          <w:sz w:val="20"/>
          <w:szCs w:val="20"/>
        </w:rPr>
      </w:pPr>
      <w:r w:rsidRPr="00470480">
        <w:rPr>
          <w:rFonts w:ascii="Arial" w:hAnsi="Arial" w:cs="Arial"/>
          <w:sz w:val="20"/>
          <w:szCs w:val="20"/>
        </w:rPr>
        <w:t>To</w:t>
      </w:r>
    </w:p>
    <w:p w:rsidR="00BE4BD6" w:rsidRPr="00470480" w:rsidRDefault="00BE4BD6" w:rsidP="005B3A67">
      <w:pPr>
        <w:pStyle w:val="NormalWeb"/>
        <w:rPr>
          <w:rFonts w:ascii="Arial" w:hAnsi="Arial" w:cs="Arial"/>
          <w:sz w:val="20"/>
          <w:szCs w:val="20"/>
        </w:rPr>
      </w:pPr>
      <w:r w:rsidRPr="00470480">
        <w:rPr>
          <w:rFonts w:ascii="Arial" w:hAnsi="Arial" w:cs="Arial"/>
          <w:sz w:val="20"/>
          <w:szCs w:val="20"/>
        </w:rPr>
        <w:t>All Category-I Authorised Dealer Banks</w:t>
      </w:r>
    </w:p>
    <w:p w:rsidR="00BE4BD6" w:rsidRPr="00470480" w:rsidRDefault="00BE4BD6" w:rsidP="005B3A67">
      <w:pPr>
        <w:pStyle w:val="NormalWeb"/>
        <w:rPr>
          <w:rFonts w:ascii="Arial" w:hAnsi="Arial" w:cs="Arial"/>
          <w:sz w:val="20"/>
          <w:szCs w:val="20"/>
        </w:rPr>
      </w:pPr>
      <w:r w:rsidRPr="00470480">
        <w:rPr>
          <w:rFonts w:ascii="Arial" w:hAnsi="Arial" w:cs="Arial"/>
          <w:sz w:val="20"/>
          <w:szCs w:val="20"/>
        </w:rPr>
        <w:t>Madam/Sir,</w:t>
      </w:r>
    </w:p>
    <w:p w:rsidR="00BE4BD6" w:rsidRPr="00470480" w:rsidRDefault="00BE4BD6" w:rsidP="005B3A67">
      <w:pPr>
        <w:pStyle w:val="head"/>
        <w:rPr>
          <w:rFonts w:ascii="Arial" w:hAnsi="Arial" w:cs="Arial"/>
          <w:b/>
          <w:bCs/>
          <w:sz w:val="20"/>
          <w:szCs w:val="20"/>
        </w:rPr>
      </w:pPr>
      <w:r w:rsidRPr="00470480">
        <w:rPr>
          <w:rFonts w:ascii="Arial" w:hAnsi="Arial" w:cs="Arial"/>
          <w:b/>
          <w:bCs/>
          <w:sz w:val="20"/>
          <w:szCs w:val="20"/>
        </w:rPr>
        <w:t xml:space="preserve">Guidelines on import of gold by Qualified Jewellers as notified by – The International Financial Services </w:t>
      </w:r>
      <w:proofErr w:type="spellStart"/>
      <w:r w:rsidRPr="00470480">
        <w:rPr>
          <w:rFonts w:ascii="Arial" w:hAnsi="Arial" w:cs="Arial"/>
          <w:b/>
          <w:bCs/>
          <w:sz w:val="20"/>
          <w:szCs w:val="20"/>
        </w:rPr>
        <w:t>Centers</w:t>
      </w:r>
      <w:proofErr w:type="spellEnd"/>
      <w:r w:rsidRPr="00470480">
        <w:rPr>
          <w:rFonts w:ascii="Arial" w:hAnsi="Arial" w:cs="Arial"/>
          <w:b/>
          <w:bCs/>
          <w:sz w:val="20"/>
          <w:szCs w:val="20"/>
        </w:rPr>
        <w:t xml:space="preserve"> Authority (IFSCA)</w:t>
      </w:r>
    </w:p>
    <w:p w:rsidR="00BE4BD6" w:rsidRPr="00470480" w:rsidRDefault="00BE4BD6" w:rsidP="005B3A67">
      <w:pPr>
        <w:pStyle w:val="NormalWeb"/>
        <w:rPr>
          <w:rFonts w:ascii="Arial" w:hAnsi="Arial" w:cs="Arial"/>
          <w:sz w:val="20"/>
          <w:szCs w:val="20"/>
        </w:rPr>
      </w:pPr>
      <w:r w:rsidRPr="00470480">
        <w:rPr>
          <w:rFonts w:ascii="Arial" w:hAnsi="Arial" w:cs="Arial"/>
          <w:sz w:val="20"/>
          <w:szCs w:val="20"/>
        </w:rPr>
        <w:t>Directorate General of Foreign Trade (DGFT) formulate and implement the Foreign Trade Policy and Procedures in terms of Foreign Trade (Development and Regulation) Act, 1992, (FTDR Act 1992, hereinafter) as amended from time to time. In exercise of powers conferred by Section 3 read with Section 5 of FTDR Act 1992, read with paragraph 1.02 and 2.01 of the Foreign Trade Policy, 2015-2020, as amended from time to time, the Central Government has amended the import policy conditions for gold in any form, other than monetary gold and silver in any form under Chapter 71 of ITC (HS), 2017, Schedule-I (Import Policy) vide Notification No. 49/2015-2020 dated January 5, 2022.</w:t>
      </w:r>
    </w:p>
    <w:p w:rsidR="00BE4BD6" w:rsidRPr="00470480" w:rsidRDefault="00BE4BD6" w:rsidP="005B3A67">
      <w:pPr>
        <w:pStyle w:val="NormalWeb"/>
        <w:rPr>
          <w:rFonts w:ascii="Arial" w:hAnsi="Arial" w:cs="Arial"/>
          <w:sz w:val="20"/>
          <w:szCs w:val="20"/>
        </w:rPr>
      </w:pPr>
      <w:r w:rsidRPr="00470480">
        <w:rPr>
          <w:rFonts w:ascii="Arial" w:hAnsi="Arial" w:cs="Arial"/>
          <w:sz w:val="20"/>
          <w:szCs w:val="20"/>
        </w:rPr>
        <w:t xml:space="preserve">2. Attention of Authorised Dealer Category - I (AD) bank is invited to (a) Notification No. 49/2015-2020 dated January 5, 2022, in terms of which, in addition to nominated agencies as notified by RBI (in case of banks) and nominated agencies as notified by DGFT, Qualified Jewellers (QJ) as notified by International Financial Services </w:t>
      </w:r>
      <w:proofErr w:type="spellStart"/>
      <w:r w:rsidRPr="00470480">
        <w:rPr>
          <w:rFonts w:ascii="Arial" w:hAnsi="Arial" w:cs="Arial"/>
          <w:sz w:val="20"/>
          <w:szCs w:val="20"/>
        </w:rPr>
        <w:t>Centers</w:t>
      </w:r>
      <w:proofErr w:type="spellEnd"/>
      <w:r w:rsidRPr="00470480">
        <w:rPr>
          <w:rFonts w:ascii="Arial" w:hAnsi="Arial" w:cs="Arial"/>
          <w:sz w:val="20"/>
          <w:szCs w:val="20"/>
        </w:rPr>
        <w:t xml:space="preserve"> Authority (IFSCA) will be permitted to import gold under specific ITC(HS) Codes through India International Bullion Exchange IFSC Ltd. (IIBX); (b) </w:t>
      </w:r>
      <w:hyperlink r:id="rId67" w:tgtFrame="_blank" w:history="1">
        <w:r w:rsidRPr="00470480">
          <w:rPr>
            <w:rStyle w:val="Hyperlink"/>
            <w:rFonts w:ascii="Arial" w:hAnsi="Arial" w:cs="Arial"/>
            <w:sz w:val="20"/>
            <w:szCs w:val="20"/>
          </w:rPr>
          <w:t>Master Direction – Import of Goods and Services</w:t>
        </w:r>
      </w:hyperlink>
      <w:r w:rsidRPr="00470480">
        <w:rPr>
          <w:rFonts w:ascii="Arial" w:hAnsi="Arial" w:cs="Arial"/>
          <w:sz w:val="20"/>
          <w:szCs w:val="20"/>
        </w:rPr>
        <w:t xml:space="preserve"> and the AP Dir Series Circulars issued for import of Gold by Reserve Bank of India under FEMA, 1999; (c) regulations issued by the International Financial Services </w:t>
      </w:r>
      <w:proofErr w:type="spellStart"/>
      <w:r w:rsidRPr="00470480">
        <w:rPr>
          <w:rFonts w:ascii="Arial" w:hAnsi="Arial" w:cs="Arial"/>
          <w:sz w:val="20"/>
          <w:szCs w:val="20"/>
        </w:rPr>
        <w:t>Centers</w:t>
      </w:r>
      <w:proofErr w:type="spellEnd"/>
      <w:r w:rsidRPr="00470480">
        <w:rPr>
          <w:rFonts w:ascii="Arial" w:hAnsi="Arial" w:cs="Arial"/>
          <w:sz w:val="20"/>
          <w:szCs w:val="20"/>
        </w:rPr>
        <w:t xml:space="preserve"> Authority (IFSCA) under International Financial Services </w:t>
      </w:r>
      <w:proofErr w:type="spellStart"/>
      <w:r w:rsidRPr="00470480">
        <w:rPr>
          <w:rFonts w:ascii="Arial" w:hAnsi="Arial" w:cs="Arial"/>
          <w:sz w:val="20"/>
          <w:szCs w:val="20"/>
        </w:rPr>
        <w:t>Centers</w:t>
      </w:r>
      <w:proofErr w:type="spellEnd"/>
      <w:r w:rsidRPr="00470480">
        <w:rPr>
          <w:rFonts w:ascii="Arial" w:hAnsi="Arial" w:cs="Arial"/>
          <w:sz w:val="20"/>
          <w:szCs w:val="20"/>
        </w:rPr>
        <w:t xml:space="preserve"> Authority Act, 2019.</w:t>
      </w:r>
    </w:p>
    <w:p w:rsidR="00AC68C8" w:rsidRDefault="00AC68C8" w:rsidP="00BA70DE"/>
    <w:p w:rsidR="00AC68C8" w:rsidRDefault="00AC68C8" w:rsidP="00BA70DE"/>
    <w:p w:rsidR="00BA70DE" w:rsidRDefault="00BA70DE" w:rsidP="00BA70DE">
      <w:r>
        <w:t>More details can be referred to in the below link</w:t>
      </w:r>
    </w:p>
    <w:p w:rsidR="00BE4BD6" w:rsidRPr="00470480" w:rsidRDefault="00BA70DE" w:rsidP="00BE4BD6">
      <w:pPr>
        <w:spacing w:after="0"/>
        <w:jc w:val="both"/>
        <w:rPr>
          <w:rFonts w:ascii="Arial" w:hAnsi="Arial" w:cs="Arial"/>
          <w:sz w:val="20"/>
          <w:szCs w:val="20"/>
        </w:rPr>
      </w:pPr>
      <w:r>
        <w:rPr>
          <w:rFonts w:ascii="Arial" w:hAnsi="Arial" w:cs="Arial"/>
          <w:sz w:val="20"/>
          <w:szCs w:val="20"/>
        </w:rPr>
        <w:t xml:space="preserve">Reference Link: </w:t>
      </w:r>
      <w:hyperlink r:id="rId68" w:history="1">
        <w:r w:rsidR="005B3A67" w:rsidRPr="00470480">
          <w:rPr>
            <w:rStyle w:val="Hyperlink"/>
            <w:rFonts w:ascii="Arial" w:hAnsi="Arial" w:cs="Arial"/>
            <w:sz w:val="20"/>
            <w:szCs w:val="20"/>
          </w:rPr>
          <w:t>https://www.rbi.org.in/Scripts/NotificationUser.aspx?Id=12324&amp;Mode=0</w:t>
        </w:r>
      </w:hyperlink>
    </w:p>
    <w:p w:rsidR="005B3A67" w:rsidRPr="00470480" w:rsidRDefault="005B3A67" w:rsidP="00BE4BD6">
      <w:pPr>
        <w:spacing w:after="0"/>
        <w:jc w:val="both"/>
        <w:rPr>
          <w:rFonts w:ascii="Arial" w:hAnsi="Arial" w:cs="Arial"/>
          <w:sz w:val="20"/>
          <w:szCs w:val="20"/>
        </w:rPr>
      </w:pPr>
    </w:p>
    <w:p w:rsidR="00BE4BD6" w:rsidRPr="00470480" w:rsidRDefault="00BE4BD6"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470480" w:rsidRDefault="00470480" w:rsidP="00BE4BD6">
      <w:pPr>
        <w:spacing w:after="0"/>
        <w:jc w:val="both"/>
        <w:rPr>
          <w:rFonts w:ascii="Arial" w:hAnsi="Arial" w:cs="Arial"/>
          <w:sz w:val="20"/>
          <w:szCs w:val="20"/>
        </w:rPr>
      </w:pPr>
    </w:p>
    <w:p w:rsidR="00BA70DE" w:rsidRDefault="00BA70DE" w:rsidP="00BE4BD6">
      <w:pPr>
        <w:spacing w:after="0"/>
        <w:jc w:val="both"/>
        <w:rPr>
          <w:rFonts w:ascii="Arial" w:hAnsi="Arial" w:cs="Arial"/>
          <w:b/>
          <w:bCs/>
          <w:color w:val="000000"/>
          <w:sz w:val="20"/>
          <w:szCs w:val="20"/>
        </w:rPr>
      </w:pPr>
    </w:p>
    <w:p w:rsidR="005B3A67" w:rsidRPr="00470480" w:rsidRDefault="005B3A67"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Housing Finance – Loans for repairs/additions/alterations - Enhancement of limits</w:t>
      </w:r>
    </w:p>
    <w:p w:rsidR="005B3A67" w:rsidRPr="00470480" w:rsidRDefault="005B3A67" w:rsidP="00BE4BD6">
      <w:pPr>
        <w:spacing w:after="0"/>
        <w:jc w:val="both"/>
        <w:rPr>
          <w:rFonts w:ascii="Arial" w:hAnsi="Arial" w:cs="Arial"/>
          <w:b/>
          <w:bCs/>
          <w:color w:val="000000"/>
          <w:sz w:val="20"/>
          <w:szCs w:val="20"/>
        </w:rPr>
      </w:pP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RBI/2022-23/56</w:t>
      </w:r>
      <w:r w:rsidRPr="00470480">
        <w:rPr>
          <w:rFonts w:ascii="Arial" w:hAnsi="Arial" w:cs="Arial"/>
          <w:color w:val="000000"/>
          <w:sz w:val="20"/>
          <w:szCs w:val="20"/>
        </w:rPr>
        <w:br/>
        <w:t>DOR.CRE.REC.18/09.22.010/2022-23</w:t>
      </w:r>
    </w:p>
    <w:p w:rsidR="005B3A67" w:rsidRPr="00470480" w:rsidRDefault="005B3A67" w:rsidP="005B3A67">
      <w:pPr>
        <w:pStyle w:val="NormalWeb"/>
        <w:jc w:val="right"/>
        <w:rPr>
          <w:rFonts w:ascii="Arial" w:hAnsi="Arial" w:cs="Arial"/>
          <w:color w:val="000000"/>
          <w:sz w:val="20"/>
          <w:szCs w:val="20"/>
        </w:rPr>
      </w:pPr>
      <w:r w:rsidRPr="00470480">
        <w:rPr>
          <w:rFonts w:ascii="Arial" w:hAnsi="Arial" w:cs="Arial"/>
          <w:color w:val="000000"/>
          <w:sz w:val="20"/>
          <w:szCs w:val="20"/>
        </w:rPr>
        <w:t>May 24, 2022</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5B3A67" w:rsidRPr="00470480" w:rsidRDefault="005B3A67" w:rsidP="005B3A67">
      <w:pPr>
        <w:pStyle w:val="head"/>
        <w:jc w:val="both"/>
        <w:rPr>
          <w:rFonts w:ascii="Arial" w:hAnsi="Arial" w:cs="Arial"/>
          <w:b/>
          <w:bCs/>
          <w:color w:val="000000"/>
          <w:sz w:val="20"/>
          <w:szCs w:val="20"/>
        </w:rPr>
      </w:pPr>
      <w:r w:rsidRPr="00470480">
        <w:rPr>
          <w:rFonts w:ascii="Arial" w:hAnsi="Arial" w:cs="Arial"/>
          <w:b/>
          <w:bCs/>
          <w:color w:val="000000"/>
          <w:sz w:val="20"/>
          <w:szCs w:val="20"/>
        </w:rPr>
        <w:t>Housing Finance – Loans for repairs/additions/alterations - Enhancement of limits</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Please refer to para 2 of the </w:t>
      </w:r>
      <w:hyperlink r:id="rId69" w:tgtFrame="_blank" w:history="1">
        <w:r w:rsidRPr="00470480">
          <w:rPr>
            <w:rStyle w:val="Hyperlink"/>
            <w:rFonts w:ascii="Arial" w:hAnsi="Arial" w:cs="Arial"/>
            <w:sz w:val="20"/>
            <w:szCs w:val="20"/>
          </w:rPr>
          <w:t>circular UBD.CO.BPD.(PCB).Cir.No.13/09.22.010/2013-14 dated September 10, 2013</w:t>
        </w:r>
      </w:hyperlink>
      <w:r w:rsidRPr="00470480">
        <w:rPr>
          <w:rFonts w:ascii="Arial" w:hAnsi="Arial" w:cs="Arial"/>
          <w:color w:val="000000"/>
          <w:sz w:val="20"/>
          <w:szCs w:val="20"/>
        </w:rPr>
        <w:t> on the captioned subject, wherein, the ceiling on loans to individuals for carrying out repairs/additions/alterations to their dwelling units was revised upwards to ₹2 lakh in rural and semi-urban areas and ₹5 lakh in urban areas.</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 xml:space="preserve">2. The ceiling on such loans is now revised to ₹10 </w:t>
      </w:r>
      <w:proofErr w:type="gramStart"/>
      <w:r w:rsidRPr="00470480">
        <w:rPr>
          <w:rFonts w:ascii="Arial" w:hAnsi="Arial" w:cs="Arial"/>
          <w:color w:val="000000"/>
          <w:sz w:val="20"/>
          <w:szCs w:val="20"/>
        </w:rPr>
        <w:t>lakh</w:t>
      </w:r>
      <w:proofErr w:type="gramEnd"/>
      <w:r w:rsidRPr="00470480">
        <w:rPr>
          <w:rFonts w:ascii="Arial" w:hAnsi="Arial" w:cs="Arial"/>
          <w:color w:val="000000"/>
          <w:sz w:val="20"/>
          <w:szCs w:val="20"/>
        </w:rPr>
        <w:t xml:space="preserve"> in metropolitan centres (those centres with population of 10 lakh and above) and ₹6 lakh in other centres.</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5B3A67" w:rsidRPr="00470480" w:rsidRDefault="005B3A67" w:rsidP="005B3A6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C68C8" w:rsidRDefault="00AC68C8" w:rsidP="00BE4BD6">
      <w:pPr>
        <w:spacing w:after="0"/>
        <w:jc w:val="both"/>
        <w:rPr>
          <w:rFonts w:ascii="Arial" w:hAnsi="Arial" w:cs="Arial"/>
          <w:sz w:val="20"/>
          <w:szCs w:val="20"/>
        </w:rPr>
      </w:pPr>
    </w:p>
    <w:p w:rsidR="00AC68C8" w:rsidRDefault="00AC68C8"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70" w:history="1">
        <w:r w:rsidRPr="00470480">
          <w:rPr>
            <w:rStyle w:val="Hyperlink"/>
            <w:rFonts w:ascii="Arial" w:hAnsi="Arial" w:cs="Arial"/>
            <w:sz w:val="20"/>
            <w:szCs w:val="20"/>
          </w:rPr>
          <w:t>https://www.rbi.org.in/Scripts/NotificationUser.aspx?Id=12323&amp;Mode=0</w:t>
        </w:r>
      </w:hyperlink>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470480" w:rsidRDefault="00470480" w:rsidP="00BE4BD6">
      <w:pPr>
        <w:spacing w:after="0"/>
        <w:jc w:val="both"/>
        <w:rPr>
          <w:rFonts w:ascii="Arial" w:hAnsi="Arial" w:cs="Arial"/>
          <w:b/>
          <w:bCs/>
          <w:color w:val="000000"/>
          <w:sz w:val="20"/>
          <w:szCs w:val="20"/>
        </w:rPr>
      </w:pPr>
    </w:p>
    <w:p w:rsidR="00470480" w:rsidRDefault="00470480" w:rsidP="00BE4BD6">
      <w:pPr>
        <w:spacing w:after="0"/>
        <w:jc w:val="both"/>
        <w:rPr>
          <w:rFonts w:ascii="Arial" w:hAnsi="Arial" w:cs="Arial"/>
          <w:b/>
          <w:bCs/>
          <w:color w:val="000000"/>
          <w:sz w:val="20"/>
          <w:szCs w:val="20"/>
        </w:rPr>
      </w:pPr>
    </w:p>
    <w:p w:rsidR="00470480" w:rsidRDefault="00470480" w:rsidP="00BE4BD6">
      <w:pPr>
        <w:spacing w:after="0"/>
        <w:jc w:val="both"/>
        <w:rPr>
          <w:rFonts w:ascii="Arial" w:hAnsi="Arial" w:cs="Arial"/>
          <w:b/>
          <w:bCs/>
          <w:color w:val="000000"/>
          <w:sz w:val="20"/>
          <w:szCs w:val="20"/>
        </w:rPr>
      </w:pPr>
    </w:p>
    <w:p w:rsidR="005B3A67" w:rsidRPr="00470480" w:rsidRDefault="005B3A67" w:rsidP="00BE4BD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Reserve Bank of India (Financial Statements - Presentation and Disclosures) Directions, 2021 - Reporting of reverse repos with Reserve Bank on the bank’s balance sheet</w:t>
      </w:r>
    </w:p>
    <w:p w:rsidR="005B3A67" w:rsidRPr="00470480" w:rsidRDefault="005B3A67" w:rsidP="00BE4BD6">
      <w:pPr>
        <w:spacing w:after="0"/>
        <w:jc w:val="both"/>
        <w:rPr>
          <w:rFonts w:ascii="Arial" w:hAnsi="Arial" w:cs="Arial"/>
          <w:b/>
          <w:bCs/>
          <w:color w:val="000000"/>
          <w:sz w:val="20"/>
          <w:szCs w:val="20"/>
        </w:rPr>
      </w:pP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RBI/2022-23/55</w:t>
      </w:r>
      <w:r w:rsidRPr="00470480">
        <w:rPr>
          <w:rFonts w:ascii="Arial" w:hAnsi="Arial" w:cs="Arial"/>
          <w:color w:val="000000"/>
          <w:sz w:val="20"/>
          <w:szCs w:val="20"/>
        </w:rPr>
        <w:br/>
        <w:t>DOR.ACC.REC.No.37/21.04.018/2022-23</w:t>
      </w:r>
    </w:p>
    <w:p w:rsidR="005B3A67" w:rsidRPr="00470480" w:rsidRDefault="005B3A67" w:rsidP="005B3A67">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5B3A67" w:rsidRPr="00470480" w:rsidRDefault="005B3A67" w:rsidP="005B3A67">
      <w:pPr>
        <w:pStyle w:val="head"/>
        <w:jc w:val="both"/>
        <w:rPr>
          <w:rFonts w:ascii="Arial" w:hAnsi="Arial" w:cs="Arial"/>
          <w:b/>
          <w:bCs/>
          <w:color w:val="000000"/>
          <w:sz w:val="20"/>
          <w:szCs w:val="20"/>
        </w:rPr>
      </w:pPr>
      <w:r w:rsidRPr="00470480">
        <w:rPr>
          <w:rFonts w:ascii="Arial" w:hAnsi="Arial" w:cs="Arial"/>
          <w:b/>
          <w:bCs/>
          <w:color w:val="000000"/>
          <w:sz w:val="20"/>
          <w:szCs w:val="20"/>
        </w:rPr>
        <w:t>Reserve Bank of India (Financial Statements - Presentation and Disclosures) Directions, 2021 - Reporting of reverse repos with Reserve Bank on the bank’s balance sheet</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Please refer to the ‘Notes and Instructions for Compilation’ given in Part A of Annexure II to the </w:t>
      </w:r>
      <w:hyperlink r:id="rId71" w:tgtFrame="_blank" w:history="1">
        <w:r w:rsidRPr="00470480">
          <w:rPr>
            <w:rStyle w:val="Hyperlink"/>
            <w:rFonts w:ascii="Arial" w:hAnsi="Arial" w:cs="Arial"/>
            <w:sz w:val="20"/>
            <w:szCs w:val="20"/>
          </w:rPr>
          <w:t>Reserve Bank of India (Financial Statements - Presentation and Disclosures) Directions, 2021</w:t>
        </w:r>
      </w:hyperlink>
      <w:r w:rsidRPr="00470480">
        <w:rPr>
          <w:rFonts w:ascii="Arial" w:hAnsi="Arial" w:cs="Arial"/>
          <w:color w:val="000000"/>
          <w:sz w:val="20"/>
          <w:szCs w:val="20"/>
        </w:rPr>
        <w:t>, regarding the reporting of reverse repo transactions by the banks on their balance sheet.</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2. In order to bring more clarity on the presentation of reverse repo on the balance sheet, it has now been decided as under:</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(a) All type of reverse repos with the Reserve Bank including those under Liquidity Adjustment Facility shall be presented under sub-item (ii) ‘In Other Accounts’ of item (II) ‘Balances with Reserve Bank of India’ under Schedule 6 ‘Cash and balances with Reserve Bank of India’.</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(b) Reverse repos with banks and other institutions having original tenors up to and inclusive of 14 days shall be classified under item (ii) ‘Money at call and short notice’ under Schedule 7 ‘Balances with banks and money at call and short notice’.</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(c) Reverse repos with banks and other institutions having original tenors more than 14 days shall be classified under Schedule 9 – ‘Advances’ under the following heads:</w:t>
      </w:r>
    </w:p>
    <w:p w:rsidR="005B3A67" w:rsidRPr="00470480" w:rsidRDefault="005B3A67" w:rsidP="00421545">
      <w:pPr>
        <w:pStyle w:val="NormalWeb"/>
        <w:numPr>
          <w:ilvl w:val="0"/>
          <w:numId w:val="17"/>
        </w:numPr>
        <w:ind w:left="0"/>
        <w:jc w:val="both"/>
        <w:rPr>
          <w:rFonts w:ascii="Arial" w:hAnsi="Arial" w:cs="Arial"/>
          <w:color w:val="000000"/>
          <w:sz w:val="20"/>
          <w:szCs w:val="20"/>
        </w:rPr>
      </w:pPr>
      <w:r w:rsidRPr="00470480">
        <w:rPr>
          <w:rFonts w:ascii="Arial" w:hAnsi="Arial" w:cs="Arial"/>
          <w:color w:val="000000"/>
          <w:sz w:val="20"/>
          <w:szCs w:val="20"/>
        </w:rPr>
        <w:t>A.(ii) ‘Cash credits, overdrafts and loans repayable on demand’</w:t>
      </w:r>
    </w:p>
    <w:p w:rsidR="005B3A67" w:rsidRPr="00470480" w:rsidRDefault="005B3A67" w:rsidP="00421545">
      <w:pPr>
        <w:pStyle w:val="NormalWeb"/>
        <w:numPr>
          <w:ilvl w:val="0"/>
          <w:numId w:val="17"/>
        </w:numPr>
        <w:ind w:left="0"/>
        <w:jc w:val="both"/>
        <w:rPr>
          <w:rFonts w:ascii="Arial" w:hAnsi="Arial" w:cs="Arial"/>
          <w:color w:val="000000"/>
          <w:sz w:val="20"/>
          <w:szCs w:val="20"/>
        </w:rPr>
      </w:pPr>
      <w:r w:rsidRPr="00470480">
        <w:rPr>
          <w:rFonts w:ascii="Arial" w:hAnsi="Arial" w:cs="Arial"/>
          <w:color w:val="000000"/>
          <w:sz w:val="20"/>
          <w:szCs w:val="20"/>
        </w:rPr>
        <w:t>B.(</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‘Secured by tangible assets’</w:t>
      </w:r>
    </w:p>
    <w:p w:rsidR="005B3A67" w:rsidRPr="00470480" w:rsidRDefault="005B3A67" w:rsidP="00421545">
      <w:pPr>
        <w:pStyle w:val="NormalWeb"/>
        <w:numPr>
          <w:ilvl w:val="0"/>
          <w:numId w:val="17"/>
        </w:numPr>
        <w:ind w:left="0"/>
        <w:jc w:val="both"/>
        <w:rPr>
          <w:rFonts w:ascii="Arial" w:hAnsi="Arial" w:cs="Arial"/>
          <w:color w:val="000000"/>
          <w:sz w:val="20"/>
          <w:szCs w:val="20"/>
        </w:rPr>
      </w:pPr>
      <w:r w:rsidRPr="00470480">
        <w:rPr>
          <w:rFonts w:ascii="Arial" w:hAnsi="Arial" w:cs="Arial"/>
          <w:color w:val="000000"/>
          <w:sz w:val="20"/>
          <w:szCs w:val="20"/>
        </w:rPr>
        <w:t>C.(I</w:t>
      </w:r>
      <w:proofErr w:type="gramStart"/>
      <w:r w:rsidRPr="00470480">
        <w:rPr>
          <w:rFonts w:ascii="Arial" w:hAnsi="Arial" w:cs="Arial"/>
          <w:color w:val="000000"/>
          <w:sz w:val="20"/>
          <w:szCs w:val="20"/>
        </w:rPr>
        <w:t>).(</w:t>
      </w:r>
      <w:proofErr w:type="gramEnd"/>
      <w:r w:rsidRPr="00470480">
        <w:rPr>
          <w:rFonts w:ascii="Arial" w:hAnsi="Arial" w:cs="Arial"/>
          <w:color w:val="000000"/>
          <w:sz w:val="20"/>
          <w:szCs w:val="20"/>
        </w:rPr>
        <w:t>iii) Banks (iv) ‘Others’ (as the case may be)</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3. In addition, certain sections in the said Directions are being updated for editorial corrections as given in the </w:t>
      </w:r>
      <w:hyperlink r:id="rId72" w:anchor="A_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5B3A67" w:rsidRPr="00470480" w:rsidRDefault="005B3A67" w:rsidP="005B3A67">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commercial banks. The </w:t>
      </w:r>
      <w:hyperlink r:id="rId73" w:tgtFrame="_blank" w:history="1">
        <w:r w:rsidRPr="00470480">
          <w:rPr>
            <w:rStyle w:val="Hyperlink"/>
            <w:rFonts w:ascii="Arial" w:hAnsi="Arial" w:cs="Arial"/>
            <w:sz w:val="20"/>
            <w:szCs w:val="20"/>
          </w:rPr>
          <w:t>Reserve Bank of India (Financial Statements - Presentation and Disclosures) Directions, 2021</w:t>
        </w:r>
      </w:hyperlink>
      <w:r w:rsidRPr="00470480">
        <w:rPr>
          <w:rFonts w:ascii="Arial" w:hAnsi="Arial" w:cs="Arial"/>
          <w:color w:val="000000"/>
          <w:sz w:val="20"/>
          <w:szCs w:val="20"/>
        </w:rPr>
        <w:t>, stands updated to reflect these changes.</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5B3A67" w:rsidRPr="00470480" w:rsidRDefault="005B3A67" w:rsidP="005B3A6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74" w:history="1">
        <w:r w:rsidRPr="00470480">
          <w:rPr>
            <w:rStyle w:val="Hyperlink"/>
            <w:rFonts w:ascii="Arial" w:hAnsi="Arial" w:cs="Arial"/>
            <w:sz w:val="20"/>
            <w:szCs w:val="20"/>
          </w:rPr>
          <w:t>https://www.rbi.org.in/Scripts/NotificationUser.aspx?Id=12322&amp;Mode=0</w:t>
        </w:r>
      </w:hyperlink>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470480" w:rsidRDefault="00470480" w:rsidP="00BE4BD6">
      <w:pPr>
        <w:spacing w:after="0"/>
        <w:jc w:val="both"/>
        <w:rPr>
          <w:rFonts w:ascii="Arial" w:hAnsi="Arial" w:cs="Arial"/>
          <w:b/>
          <w:bCs/>
          <w:color w:val="000000"/>
          <w:sz w:val="20"/>
          <w:szCs w:val="20"/>
        </w:rPr>
      </w:pPr>
    </w:p>
    <w:p w:rsidR="005B3A67" w:rsidRPr="00470480" w:rsidRDefault="005B3A67" w:rsidP="00BE4BD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Interoperable Card-less Cash Withdrawal (ICCW) at ATMs</w:t>
      </w:r>
    </w:p>
    <w:p w:rsidR="005B3A67" w:rsidRPr="00470480" w:rsidRDefault="005B3A67" w:rsidP="00BE4BD6">
      <w:pPr>
        <w:spacing w:after="0"/>
        <w:jc w:val="both"/>
        <w:rPr>
          <w:rFonts w:ascii="Arial" w:hAnsi="Arial" w:cs="Arial"/>
          <w:b/>
          <w:bCs/>
          <w:color w:val="000000"/>
          <w:sz w:val="20"/>
          <w:szCs w:val="20"/>
        </w:rPr>
      </w:pP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RBI/2022-23/54</w:t>
      </w:r>
      <w:r w:rsidRPr="00470480">
        <w:rPr>
          <w:rFonts w:ascii="Arial" w:hAnsi="Arial" w:cs="Arial"/>
          <w:color w:val="000000"/>
          <w:sz w:val="20"/>
          <w:szCs w:val="20"/>
        </w:rPr>
        <w:br/>
        <w:t>CO.DPSS.POLC.No.S-227/02-10-002/2022-23</w:t>
      </w:r>
    </w:p>
    <w:p w:rsidR="005B3A67" w:rsidRPr="00470480" w:rsidRDefault="005B3A67" w:rsidP="005B3A67">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5B3A67" w:rsidRPr="00470480" w:rsidRDefault="005B3A67" w:rsidP="005B3A67">
      <w:pPr>
        <w:pStyle w:val="NormalWeb"/>
        <w:rPr>
          <w:rFonts w:ascii="Arial" w:hAnsi="Arial" w:cs="Arial"/>
          <w:color w:val="000000"/>
          <w:sz w:val="20"/>
          <w:szCs w:val="20"/>
        </w:rPr>
      </w:pPr>
      <w:r w:rsidRPr="00470480">
        <w:rPr>
          <w:rFonts w:ascii="Arial" w:hAnsi="Arial" w:cs="Arial"/>
          <w:color w:val="000000"/>
          <w:sz w:val="20"/>
          <w:szCs w:val="20"/>
        </w:rPr>
        <w:t>The Chairman and Managing Director / Chief Executive Officer</w:t>
      </w:r>
      <w:r w:rsidRPr="00470480">
        <w:rPr>
          <w:rFonts w:ascii="Arial" w:hAnsi="Arial" w:cs="Arial"/>
          <w:color w:val="000000"/>
          <w:sz w:val="20"/>
          <w:szCs w:val="20"/>
        </w:rPr>
        <w:br/>
        <w:t>Scheduled Commercial Banks including RRBs /</w:t>
      </w:r>
      <w:r w:rsidRPr="00470480">
        <w:rPr>
          <w:rFonts w:ascii="Arial" w:hAnsi="Arial" w:cs="Arial"/>
          <w:color w:val="000000"/>
          <w:sz w:val="20"/>
          <w:szCs w:val="20"/>
        </w:rPr>
        <w:br/>
        <w:t>Urban Co-operative Banks / State Co-operative Banks /</w:t>
      </w:r>
      <w:r w:rsidRPr="00470480">
        <w:rPr>
          <w:rFonts w:ascii="Arial" w:hAnsi="Arial" w:cs="Arial"/>
          <w:color w:val="000000"/>
          <w:sz w:val="20"/>
          <w:szCs w:val="20"/>
        </w:rPr>
        <w:br/>
        <w:t>District Central Co-operative Banks / Payment Banks / Small Finance Banks /</w:t>
      </w:r>
      <w:r w:rsidRPr="00470480">
        <w:rPr>
          <w:rFonts w:ascii="Arial" w:hAnsi="Arial" w:cs="Arial"/>
          <w:color w:val="000000"/>
          <w:sz w:val="20"/>
          <w:szCs w:val="20"/>
        </w:rPr>
        <w:br/>
        <w:t>National Payments Corporation of India (NPCI) /</w:t>
      </w:r>
      <w:r w:rsidRPr="00470480">
        <w:rPr>
          <w:rFonts w:ascii="Arial" w:hAnsi="Arial" w:cs="Arial"/>
          <w:color w:val="000000"/>
          <w:sz w:val="20"/>
          <w:szCs w:val="20"/>
        </w:rPr>
        <w:br/>
        <w:t>ATM Networks / White Label ATM Operators (WLAOs)</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5B3A67" w:rsidRPr="00470480" w:rsidRDefault="005B3A67" w:rsidP="005B3A67">
      <w:pPr>
        <w:pStyle w:val="head"/>
        <w:jc w:val="both"/>
        <w:rPr>
          <w:rFonts w:ascii="Arial" w:hAnsi="Arial" w:cs="Arial"/>
          <w:b/>
          <w:bCs/>
          <w:color w:val="000000"/>
          <w:sz w:val="20"/>
          <w:szCs w:val="20"/>
        </w:rPr>
      </w:pPr>
      <w:r w:rsidRPr="00470480">
        <w:rPr>
          <w:rFonts w:ascii="Arial" w:hAnsi="Arial" w:cs="Arial"/>
          <w:b/>
          <w:bCs/>
          <w:color w:val="000000"/>
          <w:sz w:val="20"/>
          <w:szCs w:val="20"/>
        </w:rPr>
        <w:t>Interoperable Card-less Cash Withdrawal (ICCW) at ATMs</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7 of </w:t>
      </w:r>
      <w:hyperlink r:id="rId75" w:tgtFrame="_blank" w:history="1">
        <w:r w:rsidRPr="00470480">
          <w:rPr>
            <w:rStyle w:val="Hyperlink"/>
            <w:rFonts w:ascii="Arial" w:hAnsi="Arial" w:cs="Arial"/>
            <w:sz w:val="20"/>
            <w:szCs w:val="20"/>
          </w:rPr>
          <w:t>Statement on Development and Regulatory Policies dated April 08, 2022</w:t>
        </w:r>
      </w:hyperlink>
      <w:r w:rsidRPr="00470480">
        <w:rPr>
          <w:rFonts w:ascii="Arial" w:hAnsi="Arial" w:cs="Arial"/>
          <w:color w:val="000000"/>
          <w:sz w:val="20"/>
          <w:szCs w:val="20"/>
        </w:rPr>
        <w:t>, wherein the Reserve Bank of India (RBI) had announced introduction of ICCW.</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2. All banks, ATM networks and WLAOs may provide the option of ICCW at their ATMs. NPCI has been advised to facilitate Unified Payments Interface (UPI) integration with all banks and ATM networks. While UPI would be used for customer authorisation in such transactions, settlement would be through the National Financial Switch (NFS) / ATM networks. The on-us / off-us ICCW transactions shall be processed without levy of any charges other than those prescribed under the circular on </w:t>
      </w:r>
      <w:hyperlink r:id="rId76" w:tgtFrame="_blank" w:history="1">
        <w:r w:rsidRPr="00470480">
          <w:rPr>
            <w:rStyle w:val="Hyperlink"/>
            <w:rFonts w:ascii="Arial" w:hAnsi="Arial" w:cs="Arial"/>
            <w:sz w:val="20"/>
            <w:szCs w:val="20"/>
          </w:rPr>
          <w:t>Interchange Fee and Customer Charges</w:t>
        </w:r>
      </w:hyperlink>
      <w:r w:rsidRPr="00470480">
        <w:rPr>
          <w:rFonts w:ascii="Arial" w:hAnsi="Arial" w:cs="Arial"/>
          <w:color w:val="000000"/>
          <w:sz w:val="20"/>
          <w:szCs w:val="20"/>
        </w:rPr>
        <w:t>.</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3. Withdrawal limits for ICCW transactions shall be in-line with the limits for regular on-us / off-us ATM withdrawals. All other instructions related to </w:t>
      </w:r>
      <w:hyperlink r:id="rId77" w:tgtFrame="_blank" w:history="1">
        <w:r w:rsidRPr="00470480">
          <w:rPr>
            <w:rStyle w:val="Hyperlink"/>
            <w:rFonts w:ascii="Arial" w:hAnsi="Arial" w:cs="Arial"/>
            <w:sz w:val="20"/>
            <w:szCs w:val="20"/>
          </w:rPr>
          <w:t>Harmonisation of Turn Around Time (TAT) and customer compensation for failed transactions</w:t>
        </w:r>
      </w:hyperlink>
      <w:r w:rsidRPr="00470480">
        <w:rPr>
          <w:rFonts w:ascii="Arial" w:hAnsi="Arial" w:cs="Arial"/>
          <w:color w:val="000000"/>
          <w:sz w:val="20"/>
          <w:szCs w:val="20"/>
        </w:rPr>
        <w:t> shall continue to be applicable.</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4. This directive is issued under Section 10(2) read with Section 18 of the Payment and Settlement Systems Act, 2007 (Act 51 of 2007).</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5B3A67" w:rsidRPr="00470480" w:rsidRDefault="005B3A67" w:rsidP="005B3A67">
      <w:pPr>
        <w:pStyle w:val="NormalWeb"/>
        <w:rPr>
          <w:rFonts w:ascii="Arial" w:hAnsi="Arial" w:cs="Arial"/>
          <w:color w:val="000000"/>
          <w:sz w:val="20"/>
          <w:szCs w:val="20"/>
        </w:rPr>
      </w:pPr>
      <w:r w:rsidRPr="00470480">
        <w:rPr>
          <w:rFonts w:ascii="Arial" w:hAnsi="Arial" w:cs="Arial"/>
          <w:color w:val="000000"/>
          <w:sz w:val="20"/>
          <w:szCs w:val="20"/>
        </w:rPr>
        <w:t xml:space="preserve">(P. </w:t>
      </w:r>
      <w:proofErr w:type="spellStart"/>
      <w:r w:rsidRPr="00470480">
        <w:rPr>
          <w:rFonts w:ascii="Arial" w:hAnsi="Arial" w:cs="Arial"/>
          <w:color w:val="000000"/>
          <w:sz w:val="20"/>
          <w:szCs w:val="20"/>
        </w:rPr>
        <w:t>Vasudevan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5B3A67" w:rsidRPr="00470480" w:rsidRDefault="005B3A67" w:rsidP="005B3A67">
      <w:pPr>
        <w:pStyle w:val="NormalWeb"/>
        <w:rPr>
          <w:rFonts w:ascii="Arial" w:hAnsi="Arial" w:cs="Arial"/>
          <w:color w:val="000000"/>
          <w:sz w:val="20"/>
          <w:szCs w:val="20"/>
        </w:rPr>
      </w:pPr>
    </w:p>
    <w:p w:rsidR="005B3A67" w:rsidRPr="00470480" w:rsidRDefault="005B3A67" w:rsidP="005B3A67">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78" w:history="1">
        <w:r w:rsidRPr="00470480">
          <w:rPr>
            <w:rStyle w:val="Hyperlink"/>
            <w:rFonts w:ascii="Arial" w:hAnsi="Arial" w:cs="Arial"/>
            <w:sz w:val="20"/>
            <w:szCs w:val="20"/>
          </w:rPr>
          <w:t>https://www.rbi.org.in/Scripts/NotificationUser.aspx?Id=12321&amp;Mode=0</w:t>
        </w:r>
      </w:hyperlink>
    </w:p>
    <w:p w:rsidR="005B3A67" w:rsidRPr="00470480" w:rsidRDefault="005B3A67" w:rsidP="005B3A67">
      <w:pPr>
        <w:pStyle w:val="NormalWeb"/>
        <w:rPr>
          <w:rFonts w:ascii="Arial" w:hAnsi="Arial" w:cs="Arial"/>
          <w:color w:val="000000"/>
          <w:sz w:val="20"/>
          <w:szCs w:val="20"/>
        </w:rPr>
      </w:pPr>
    </w:p>
    <w:p w:rsidR="005B3A67" w:rsidRPr="00470480" w:rsidRDefault="005B3A67" w:rsidP="005B3A67">
      <w:pPr>
        <w:pStyle w:val="NormalWeb"/>
        <w:rPr>
          <w:rFonts w:ascii="Arial" w:hAnsi="Arial" w:cs="Arial"/>
          <w:color w:val="000000"/>
          <w:sz w:val="20"/>
          <w:szCs w:val="20"/>
        </w:rPr>
      </w:pPr>
    </w:p>
    <w:p w:rsidR="005B3A67" w:rsidRPr="00470480" w:rsidRDefault="005B3A67" w:rsidP="005B3A67">
      <w:pPr>
        <w:pStyle w:val="NormalWeb"/>
        <w:rPr>
          <w:rFonts w:ascii="Arial" w:hAnsi="Arial" w:cs="Arial"/>
          <w:color w:val="000000"/>
          <w:sz w:val="20"/>
          <w:szCs w:val="20"/>
        </w:rPr>
      </w:pPr>
    </w:p>
    <w:p w:rsidR="005B3A67" w:rsidRPr="00470480" w:rsidRDefault="005B3A67" w:rsidP="005B3A67">
      <w:pPr>
        <w:pStyle w:val="NormalWeb"/>
        <w:rPr>
          <w:rFonts w:ascii="Arial" w:hAnsi="Arial" w:cs="Arial"/>
          <w:color w:val="000000"/>
          <w:sz w:val="20"/>
          <w:szCs w:val="20"/>
        </w:rPr>
      </w:pPr>
    </w:p>
    <w:p w:rsidR="005B3A67" w:rsidRPr="00470480" w:rsidRDefault="005B3A67" w:rsidP="005B3A67">
      <w:pPr>
        <w:pStyle w:val="NormalWeb"/>
        <w:rPr>
          <w:rFonts w:ascii="Arial" w:hAnsi="Arial" w:cs="Arial"/>
          <w:color w:val="000000"/>
          <w:sz w:val="20"/>
          <w:szCs w:val="20"/>
        </w:rPr>
      </w:pPr>
    </w:p>
    <w:p w:rsidR="005B3A67" w:rsidRPr="00470480" w:rsidRDefault="005B3A67" w:rsidP="005B3A67">
      <w:pPr>
        <w:pStyle w:val="NormalWeb"/>
        <w:rPr>
          <w:rFonts w:ascii="Arial" w:hAnsi="Arial" w:cs="Arial"/>
          <w:color w:val="000000"/>
          <w:sz w:val="20"/>
          <w:szCs w:val="20"/>
        </w:rPr>
      </w:pPr>
    </w:p>
    <w:p w:rsidR="005B3A67" w:rsidRPr="00470480" w:rsidRDefault="005B3A67" w:rsidP="005B3A67">
      <w:pPr>
        <w:pStyle w:val="NormalWeb"/>
        <w:rPr>
          <w:rFonts w:ascii="Arial" w:hAnsi="Arial" w:cs="Arial"/>
          <w:color w:val="000000"/>
          <w:sz w:val="20"/>
          <w:szCs w:val="20"/>
        </w:rPr>
      </w:pPr>
      <w:r w:rsidRPr="00470480">
        <w:rPr>
          <w:rFonts w:ascii="Arial" w:hAnsi="Arial" w:cs="Arial"/>
          <w:b/>
          <w:bCs/>
          <w:color w:val="000000"/>
          <w:sz w:val="20"/>
          <w:szCs w:val="20"/>
        </w:rPr>
        <w:lastRenderedPageBreak/>
        <w:t>New Definition of Micro, Small and Medium Enterprises - Clarification</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RBI/2022-23/52</w:t>
      </w:r>
      <w:r w:rsidRPr="00470480">
        <w:rPr>
          <w:rFonts w:ascii="Arial" w:hAnsi="Arial" w:cs="Arial"/>
          <w:color w:val="000000"/>
          <w:sz w:val="20"/>
          <w:szCs w:val="20"/>
        </w:rPr>
        <w:br/>
        <w:t>FIDD.MSME &amp; NFS.BC.No.7/06.02.31/2022-23</w:t>
      </w:r>
    </w:p>
    <w:p w:rsidR="005B3A67" w:rsidRPr="00470480" w:rsidRDefault="005B3A67" w:rsidP="005B3A67">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5B3A67" w:rsidRPr="00470480" w:rsidRDefault="005B3A67" w:rsidP="005B3A67">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Commercial Banks</w:t>
      </w:r>
      <w:r w:rsidRPr="00470480">
        <w:rPr>
          <w:rFonts w:ascii="Arial" w:hAnsi="Arial" w:cs="Arial"/>
          <w:color w:val="000000"/>
          <w:sz w:val="20"/>
          <w:szCs w:val="20"/>
        </w:rPr>
        <w:br/>
        <w:t>(including Small Finance Banks, Local Area Banks and Regional Rural Banks)</w:t>
      </w:r>
      <w:r w:rsidRPr="00470480">
        <w:rPr>
          <w:rFonts w:ascii="Arial" w:hAnsi="Arial" w:cs="Arial"/>
          <w:color w:val="000000"/>
          <w:sz w:val="20"/>
          <w:szCs w:val="20"/>
        </w:rPr>
        <w:br/>
        <w:t>All Primary (Urban) Co-operative Banks/State Co-operative Banks/</w:t>
      </w:r>
      <w:r w:rsidRPr="00470480">
        <w:rPr>
          <w:rFonts w:ascii="Arial" w:hAnsi="Arial" w:cs="Arial"/>
          <w:color w:val="000000"/>
          <w:sz w:val="20"/>
          <w:szCs w:val="20"/>
        </w:rPr>
        <w:br/>
        <w:t>District Central Co-operative Banks /All-India Financial Institutions/</w:t>
      </w:r>
      <w:r w:rsidRPr="00470480">
        <w:rPr>
          <w:rFonts w:ascii="Arial" w:hAnsi="Arial" w:cs="Arial"/>
          <w:color w:val="000000"/>
          <w:sz w:val="20"/>
          <w:szCs w:val="20"/>
        </w:rPr>
        <w:br/>
        <w:t>All Non-Banking Financial Companies</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5B3A67" w:rsidRPr="00470480" w:rsidRDefault="005B3A67" w:rsidP="005B3A67">
      <w:pPr>
        <w:pStyle w:val="head"/>
        <w:jc w:val="both"/>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79" w:tgtFrame="_blank" w:history="1">
        <w:r w:rsidRPr="00470480">
          <w:rPr>
            <w:rStyle w:val="Hyperlink"/>
            <w:rFonts w:ascii="Arial" w:hAnsi="Arial" w:cs="Arial"/>
            <w:sz w:val="20"/>
            <w:szCs w:val="20"/>
          </w:rPr>
          <w:t>circulars FIDD.MSME &amp; NFS.BC.No.3/06.02.31/2020-21 dated July 2, 2020</w:t>
        </w:r>
      </w:hyperlink>
      <w:r w:rsidRPr="00470480">
        <w:rPr>
          <w:rFonts w:ascii="Arial" w:hAnsi="Arial" w:cs="Arial"/>
          <w:color w:val="000000"/>
          <w:sz w:val="20"/>
          <w:szCs w:val="20"/>
        </w:rPr>
        <w:t>, </w:t>
      </w:r>
      <w:hyperlink r:id="rId80" w:tgtFrame="_blank" w:history="1">
        <w:r w:rsidRPr="00470480">
          <w:rPr>
            <w:rStyle w:val="Hyperlink"/>
            <w:rFonts w:ascii="Arial" w:hAnsi="Arial" w:cs="Arial"/>
            <w:sz w:val="20"/>
            <w:szCs w:val="20"/>
          </w:rPr>
          <w:t>FIDD.MSME &amp; NFS.BC.No.4/06.02.31/2020-21 dated August 21, 2020</w:t>
        </w:r>
      </w:hyperlink>
      <w:r w:rsidRPr="00470480">
        <w:rPr>
          <w:rFonts w:ascii="Arial" w:hAnsi="Arial" w:cs="Arial"/>
          <w:color w:val="000000"/>
          <w:sz w:val="20"/>
          <w:szCs w:val="20"/>
        </w:rPr>
        <w:t> and </w:t>
      </w:r>
      <w:hyperlink r:id="rId81" w:tgtFrame="_blank" w:history="1">
        <w:r w:rsidRPr="00470480">
          <w:rPr>
            <w:rStyle w:val="Hyperlink"/>
            <w:rFonts w:ascii="Arial" w:hAnsi="Arial" w:cs="Arial"/>
            <w:sz w:val="20"/>
            <w:szCs w:val="20"/>
          </w:rPr>
          <w:t>FIDD.MSME &amp; NFS.BC.No.16/06.02.31/2021-22 dated February 18, 2022</w:t>
        </w:r>
      </w:hyperlink>
      <w:r w:rsidRPr="00470480">
        <w:rPr>
          <w:rFonts w:ascii="Arial" w:hAnsi="Arial" w:cs="Arial"/>
          <w:color w:val="000000"/>
          <w:sz w:val="20"/>
          <w:szCs w:val="20"/>
        </w:rPr>
        <w:t>, regarding revised criteria for classification of Micro, Small and Medium Enterprises.</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2. Government of India, vide </w:t>
      </w:r>
      <w:hyperlink r:id="rId82" w:tgtFrame="_blank" w:history="1">
        <w:r w:rsidRPr="00470480">
          <w:rPr>
            <w:rStyle w:val="Hyperlink"/>
            <w:rFonts w:ascii="Arial" w:hAnsi="Arial" w:cs="Arial"/>
            <w:sz w:val="20"/>
            <w:szCs w:val="20"/>
          </w:rPr>
          <w:t>Gazette Notification S.O. 2134(E) dated May 06, 2022</w:t>
        </w:r>
      </w:hyperlink>
      <w:r w:rsidRPr="00470480">
        <w:rPr>
          <w:rFonts w:ascii="Arial" w:hAnsi="Arial" w:cs="Arial"/>
          <w:color w:val="000000"/>
          <w:sz w:val="20"/>
          <w:szCs w:val="20"/>
        </w:rPr>
        <w:t>, has notified amendments in sub paragraph (3) paragraph (7) of the notification of Government of India, Ministry of Micro, Small and Medium Enterprises number </w:t>
      </w:r>
      <w:hyperlink r:id="rId83" w:tgtFrame="_blank" w:history="1">
        <w:r w:rsidRPr="00470480">
          <w:rPr>
            <w:rStyle w:val="Hyperlink"/>
            <w:rFonts w:ascii="Arial" w:hAnsi="Arial" w:cs="Arial"/>
            <w:sz w:val="20"/>
            <w:szCs w:val="20"/>
          </w:rPr>
          <w:t>S.O. 2119 (E), dated June 26, 2020</w:t>
        </w:r>
      </w:hyperlink>
      <w:r w:rsidRPr="00470480">
        <w:rPr>
          <w:rFonts w:ascii="Arial" w:hAnsi="Arial" w:cs="Arial"/>
          <w:color w:val="000000"/>
          <w:sz w:val="20"/>
          <w:szCs w:val="20"/>
        </w:rPr>
        <w:t>, published in the Gazette of India.</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3. In view of the above amendment, it is clarified that:</w:t>
      </w:r>
    </w:p>
    <w:p w:rsidR="005B3A67" w:rsidRPr="00470480" w:rsidRDefault="005B3A67" w:rsidP="00421545">
      <w:pPr>
        <w:pStyle w:val="NormalWeb"/>
        <w:numPr>
          <w:ilvl w:val="0"/>
          <w:numId w:val="18"/>
        </w:numPr>
        <w:ind w:left="0"/>
        <w:jc w:val="both"/>
        <w:rPr>
          <w:rFonts w:ascii="Arial" w:hAnsi="Arial" w:cs="Arial"/>
          <w:color w:val="000000"/>
          <w:sz w:val="20"/>
          <w:szCs w:val="20"/>
        </w:rPr>
      </w:pPr>
      <w:r w:rsidRPr="00470480">
        <w:rPr>
          <w:rFonts w:ascii="Arial" w:hAnsi="Arial" w:cs="Arial"/>
          <w:color w:val="000000"/>
          <w:sz w:val="20"/>
          <w:szCs w:val="20"/>
        </w:rPr>
        <w:t xml:space="preserve">the existing Entrepreneurs Memorandum (EM) Part II and </w:t>
      </w:r>
      <w:proofErr w:type="spellStart"/>
      <w:r w:rsidRPr="00470480">
        <w:rPr>
          <w:rFonts w:ascii="Arial" w:hAnsi="Arial" w:cs="Arial"/>
          <w:color w:val="000000"/>
          <w:sz w:val="20"/>
          <w:szCs w:val="20"/>
        </w:rPr>
        <w:t>Udyog</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Aadhaar</w:t>
      </w:r>
      <w:proofErr w:type="spellEnd"/>
      <w:r w:rsidRPr="00470480">
        <w:rPr>
          <w:rFonts w:ascii="Arial" w:hAnsi="Arial" w:cs="Arial"/>
          <w:color w:val="000000"/>
          <w:sz w:val="20"/>
          <w:szCs w:val="20"/>
        </w:rPr>
        <w:t xml:space="preserve"> Memorandum (UAM) of the MSMEs obtained till June 30, 2020 shall remain valid till June 30, 2022 for classification as MSMEs; and</w:t>
      </w:r>
    </w:p>
    <w:p w:rsidR="005B3A67" w:rsidRPr="00470480" w:rsidRDefault="005B3A67" w:rsidP="00421545">
      <w:pPr>
        <w:pStyle w:val="NormalWeb"/>
        <w:numPr>
          <w:ilvl w:val="0"/>
          <w:numId w:val="18"/>
        </w:numPr>
        <w:ind w:left="0"/>
        <w:jc w:val="both"/>
        <w:rPr>
          <w:rFonts w:ascii="Arial" w:hAnsi="Arial" w:cs="Arial"/>
          <w:color w:val="000000"/>
          <w:sz w:val="20"/>
          <w:szCs w:val="20"/>
        </w:rPr>
      </w:pPr>
      <w:r w:rsidRPr="00470480">
        <w:rPr>
          <w:rFonts w:ascii="Arial" w:hAnsi="Arial" w:cs="Arial"/>
          <w:color w:val="000000"/>
          <w:sz w:val="20"/>
          <w:szCs w:val="20"/>
        </w:rPr>
        <w:t>the validity of documents obtained in terms of O.M. No.12(4)/ 2017-SME dated March 8, 2017 (</w:t>
      </w:r>
      <w:hyperlink r:id="rId84" w:tgtFrame="_blank" w:history="1">
        <w:r w:rsidRPr="00470480">
          <w:rPr>
            <w:rStyle w:val="Hyperlink"/>
            <w:rFonts w:ascii="Arial" w:hAnsi="Arial" w:cs="Arial"/>
            <w:sz w:val="20"/>
            <w:szCs w:val="20"/>
          </w:rPr>
          <w:t>RBI Circular FIDD.MSME &amp; NFS.BC.No.10/06.02.31/2017-18 dated July 13, 2017</w:t>
        </w:r>
      </w:hyperlink>
      <w:r w:rsidRPr="00470480">
        <w:rPr>
          <w:rFonts w:ascii="Arial" w:hAnsi="Arial" w:cs="Arial"/>
          <w:color w:val="000000"/>
          <w:sz w:val="20"/>
          <w:szCs w:val="20"/>
        </w:rPr>
        <w:t xml:space="preserve">), for classification of MSMEs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2020, has been extended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2022.</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5B3A67" w:rsidRPr="00470480" w:rsidRDefault="005B3A67" w:rsidP="005B3A6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Nisha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Nambiar</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5B3A67" w:rsidRPr="00470480" w:rsidRDefault="005B3A67" w:rsidP="005B3A67">
      <w:pPr>
        <w:pStyle w:val="NormalWeb"/>
        <w:rPr>
          <w:rFonts w:ascii="Arial" w:hAnsi="Arial" w:cs="Arial"/>
          <w:color w:val="000000"/>
          <w:sz w:val="20"/>
          <w:szCs w:val="20"/>
        </w:rPr>
      </w:pPr>
    </w:p>
    <w:p w:rsidR="005B3A67" w:rsidRPr="00470480" w:rsidRDefault="005B3A67" w:rsidP="005B3A67">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85" w:history="1">
        <w:r w:rsidRPr="00470480">
          <w:rPr>
            <w:rStyle w:val="Hyperlink"/>
            <w:rFonts w:ascii="Arial" w:hAnsi="Arial" w:cs="Arial"/>
            <w:sz w:val="20"/>
            <w:szCs w:val="20"/>
          </w:rPr>
          <w:t>https://www.rbi.org.in/Scripts/NotificationUser.aspx?Id=12319&amp;Mode=0</w:t>
        </w:r>
      </w:hyperlink>
    </w:p>
    <w:p w:rsidR="005B3A67" w:rsidRPr="00470480" w:rsidRDefault="005B3A67" w:rsidP="005B3A67">
      <w:pPr>
        <w:pStyle w:val="NormalWeb"/>
        <w:rPr>
          <w:rFonts w:ascii="Arial" w:hAnsi="Arial" w:cs="Arial"/>
          <w:color w:val="000000"/>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5B3A67" w:rsidRPr="00470480" w:rsidRDefault="005B3A67" w:rsidP="00BE4BD6">
      <w:pPr>
        <w:spacing w:after="0"/>
        <w:jc w:val="both"/>
        <w:rPr>
          <w:rFonts w:ascii="Arial" w:hAnsi="Arial" w:cs="Arial"/>
          <w:sz w:val="20"/>
          <w:szCs w:val="20"/>
        </w:rPr>
      </w:pPr>
    </w:p>
    <w:p w:rsidR="00470480" w:rsidRDefault="00470480" w:rsidP="00BE4BD6">
      <w:pPr>
        <w:spacing w:after="0"/>
        <w:jc w:val="both"/>
        <w:rPr>
          <w:rFonts w:ascii="Arial" w:hAnsi="Arial" w:cs="Arial"/>
          <w:b/>
          <w:bCs/>
          <w:color w:val="000000"/>
          <w:sz w:val="20"/>
          <w:szCs w:val="20"/>
        </w:rPr>
      </w:pPr>
    </w:p>
    <w:p w:rsidR="005B3A67" w:rsidRPr="00470480" w:rsidRDefault="005B3A67" w:rsidP="00BE4BD6">
      <w:pPr>
        <w:spacing w:after="0"/>
        <w:jc w:val="both"/>
        <w:rPr>
          <w:rFonts w:ascii="Arial" w:hAnsi="Arial" w:cs="Arial"/>
          <w:b/>
          <w:bCs/>
          <w:color w:val="000000"/>
          <w:sz w:val="20"/>
          <w:szCs w:val="20"/>
        </w:rPr>
      </w:pPr>
      <w:proofErr w:type="spellStart"/>
      <w:r w:rsidRPr="00470480">
        <w:rPr>
          <w:rFonts w:ascii="Arial" w:hAnsi="Arial" w:cs="Arial"/>
          <w:b/>
          <w:bCs/>
          <w:color w:val="000000"/>
          <w:sz w:val="20"/>
          <w:szCs w:val="20"/>
        </w:rPr>
        <w:lastRenderedPageBreak/>
        <w:t>Kisan</w:t>
      </w:r>
      <w:proofErr w:type="spellEnd"/>
      <w:r w:rsidRPr="00470480">
        <w:rPr>
          <w:rFonts w:ascii="Arial" w:hAnsi="Arial" w:cs="Arial"/>
          <w:b/>
          <w:bCs/>
          <w:color w:val="000000"/>
          <w:sz w:val="20"/>
          <w:szCs w:val="20"/>
        </w:rPr>
        <w:t xml:space="preserve"> Credit Card Scheme - Eligibility criteria for farmers engaged in fisheries/ aquaculture</w:t>
      </w:r>
    </w:p>
    <w:p w:rsidR="005B3A67" w:rsidRPr="00470480" w:rsidRDefault="005B3A67" w:rsidP="00BE4BD6">
      <w:pPr>
        <w:spacing w:after="0"/>
        <w:jc w:val="both"/>
        <w:rPr>
          <w:rFonts w:ascii="Arial" w:hAnsi="Arial" w:cs="Arial"/>
          <w:b/>
          <w:bCs/>
          <w:color w:val="000000"/>
          <w:sz w:val="20"/>
          <w:szCs w:val="20"/>
        </w:rPr>
      </w:pP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RBI/2022-23/51</w:t>
      </w:r>
      <w:r w:rsidRPr="00470480">
        <w:rPr>
          <w:rFonts w:ascii="Arial" w:hAnsi="Arial" w:cs="Arial"/>
          <w:color w:val="000000"/>
          <w:sz w:val="20"/>
          <w:szCs w:val="20"/>
        </w:rPr>
        <w:br/>
        <w:t>FIDD.CO.FSD.BC.No.6/05.05.010/2022-23</w:t>
      </w:r>
    </w:p>
    <w:p w:rsidR="005B3A67" w:rsidRPr="00470480" w:rsidRDefault="005B3A67" w:rsidP="005B3A67">
      <w:pPr>
        <w:pStyle w:val="NormalWeb"/>
        <w:jc w:val="right"/>
        <w:rPr>
          <w:rFonts w:ascii="Arial" w:hAnsi="Arial" w:cs="Arial"/>
          <w:color w:val="000000"/>
          <w:sz w:val="20"/>
          <w:szCs w:val="20"/>
        </w:rPr>
      </w:pPr>
      <w:r w:rsidRPr="00470480">
        <w:rPr>
          <w:rFonts w:ascii="Arial" w:hAnsi="Arial" w:cs="Arial"/>
          <w:color w:val="000000"/>
          <w:sz w:val="20"/>
          <w:szCs w:val="20"/>
        </w:rPr>
        <w:t>May 18, 2022</w:t>
      </w:r>
    </w:p>
    <w:p w:rsidR="005B3A67" w:rsidRPr="00470480" w:rsidRDefault="005B3A67" w:rsidP="005B3A67">
      <w:pPr>
        <w:pStyle w:val="NormalWeb"/>
        <w:rPr>
          <w:rFonts w:ascii="Arial" w:hAnsi="Arial" w:cs="Arial"/>
          <w:color w:val="000000"/>
          <w:sz w:val="20"/>
          <w:szCs w:val="20"/>
        </w:rPr>
      </w:pPr>
      <w:r w:rsidRPr="00470480">
        <w:rPr>
          <w:rFonts w:ascii="Arial" w:hAnsi="Arial" w:cs="Arial"/>
          <w:color w:val="000000"/>
          <w:sz w:val="20"/>
          <w:szCs w:val="20"/>
        </w:rPr>
        <w:t>The Chairman/Managing Director/Chief Executive Officer</w:t>
      </w:r>
      <w:r w:rsidRPr="00470480">
        <w:rPr>
          <w:rFonts w:ascii="Arial" w:hAnsi="Arial" w:cs="Arial"/>
          <w:color w:val="000000"/>
          <w:sz w:val="20"/>
          <w:szCs w:val="20"/>
        </w:rPr>
        <w:br/>
        <w:t>All Scheduled Commercial Banks</w:t>
      </w:r>
      <w:r w:rsidRPr="00470480">
        <w:rPr>
          <w:rFonts w:ascii="Arial" w:hAnsi="Arial" w:cs="Arial"/>
          <w:color w:val="000000"/>
          <w:sz w:val="20"/>
          <w:szCs w:val="20"/>
        </w:rPr>
        <w:br/>
        <w:t>(including Small Finance Banks and</w:t>
      </w:r>
      <w:r w:rsidRPr="00470480">
        <w:rPr>
          <w:rFonts w:ascii="Arial" w:hAnsi="Arial" w:cs="Arial"/>
          <w:color w:val="000000"/>
          <w:sz w:val="20"/>
          <w:szCs w:val="20"/>
        </w:rPr>
        <w:br/>
        <w:t>excluding Regional Rural Banks)</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5B3A67" w:rsidRPr="00470480" w:rsidRDefault="005B3A67" w:rsidP="005B3A67">
      <w:pPr>
        <w:pStyle w:val="head"/>
        <w:jc w:val="both"/>
        <w:rPr>
          <w:rFonts w:ascii="Arial" w:hAnsi="Arial" w:cs="Arial"/>
          <w:b/>
          <w:bCs/>
          <w:color w:val="000000"/>
          <w:sz w:val="20"/>
          <w:szCs w:val="20"/>
        </w:rPr>
      </w:pPr>
      <w:proofErr w:type="spellStart"/>
      <w:r w:rsidRPr="00470480">
        <w:rPr>
          <w:rFonts w:ascii="Arial" w:hAnsi="Arial" w:cs="Arial"/>
          <w:b/>
          <w:bCs/>
          <w:color w:val="000000"/>
          <w:sz w:val="20"/>
          <w:szCs w:val="20"/>
        </w:rPr>
        <w:t>Kisan</w:t>
      </w:r>
      <w:proofErr w:type="spellEnd"/>
      <w:r w:rsidRPr="00470480">
        <w:rPr>
          <w:rFonts w:ascii="Arial" w:hAnsi="Arial" w:cs="Arial"/>
          <w:b/>
          <w:bCs/>
          <w:color w:val="000000"/>
          <w:sz w:val="20"/>
          <w:szCs w:val="20"/>
        </w:rPr>
        <w:t xml:space="preserve"> Credit Card Scheme - Eligibility criteria for farmers engaged in fisheries/ aquaculture</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Please refer to Para 3.1.1.2 of our </w:t>
      </w:r>
      <w:hyperlink r:id="rId86" w:tgtFrame="_blank" w:history="1">
        <w:r w:rsidRPr="00470480">
          <w:rPr>
            <w:rStyle w:val="Hyperlink"/>
            <w:rFonts w:ascii="Arial" w:hAnsi="Arial" w:cs="Arial"/>
            <w:sz w:val="20"/>
            <w:szCs w:val="20"/>
          </w:rPr>
          <w:t>circular FIDD.CO.FSD.BC.12/05.05.010/2018-19 dated February 04, 2019</w:t>
        </w:r>
      </w:hyperlink>
      <w:r w:rsidRPr="00470480">
        <w:rPr>
          <w:rFonts w:ascii="Arial" w:hAnsi="Arial" w:cs="Arial"/>
          <w:color w:val="000000"/>
          <w:sz w:val="20"/>
          <w:szCs w:val="20"/>
        </w:rPr>
        <w:t xml:space="preserve"> on </w:t>
      </w:r>
      <w:proofErr w:type="spellStart"/>
      <w:r w:rsidRPr="00470480">
        <w:rPr>
          <w:rFonts w:ascii="Arial" w:hAnsi="Arial" w:cs="Arial"/>
          <w:color w:val="000000"/>
          <w:sz w:val="20"/>
          <w:szCs w:val="20"/>
        </w:rPr>
        <w:t>Kisan</w:t>
      </w:r>
      <w:proofErr w:type="spellEnd"/>
      <w:r w:rsidRPr="00470480">
        <w:rPr>
          <w:rFonts w:ascii="Arial" w:hAnsi="Arial" w:cs="Arial"/>
          <w:color w:val="000000"/>
          <w:sz w:val="20"/>
          <w:szCs w:val="20"/>
        </w:rPr>
        <w:t xml:space="preserve"> Credit Card (KCC) Scheme: Working Capital for Animal Husbandry and Fisheries. It has been brought to our notice that licensing/authorisation related requirements pertaining to fishing/aquaculture in inland water bodies vary across states. Accordingly, the eligibility criteria for inland fisheries and aquaculture under Para 3.1.1.2 of the circular stand modified as follows:</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The beneficiaries must own or lease any fisheries related assets such as ponds, tanks, open water bodies, raceways, hatcheries, rearing units, boats, nets and such other fishing gear as the case may be and possess necessary authorisation/certification as may be applicable in respective states for fish farming and fishing related activities and for any other state specific fisheries and allied activities.</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2. All other terms and conditions of the scheme remain unchanged.</w:t>
      </w:r>
    </w:p>
    <w:p w:rsidR="005B3A67" w:rsidRPr="00470480" w:rsidRDefault="005B3A67" w:rsidP="005B3A6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5B3A67" w:rsidRPr="00470480" w:rsidRDefault="005B3A67" w:rsidP="005B3A6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Nisha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Nambiar</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C68C8" w:rsidRDefault="00AC68C8" w:rsidP="005B3A67">
      <w:pPr>
        <w:pStyle w:val="NormalWeb"/>
        <w:rPr>
          <w:rFonts w:ascii="Arial" w:hAnsi="Arial" w:cs="Arial"/>
          <w:color w:val="000000"/>
          <w:sz w:val="20"/>
          <w:szCs w:val="20"/>
        </w:rPr>
      </w:pPr>
    </w:p>
    <w:p w:rsidR="00AC68C8" w:rsidRDefault="00AC68C8" w:rsidP="005B3A67">
      <w:pPr>
        <w:pStyle w:val="NormalWeb"/>
        <w:rPr>
          <w:rFonts w:ascii="Arial" w:hAnsi="Arial" w:cs="Arial"/>
          <w:color w:val="000000"/>
          <w:sz w:val="20"/>
          <w:szCs w:val="20"/>
        </w:rPr>
      </w:pPr>
    </w:p>
    <w:p w:rsidR="005B3A67" w:rsidRPr="00470480" w:rsidRDefault="005B3A67" w:rsidP="005B3A67">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87" w:history="1">
        <w:r w:rsidRPr="00470480">
          <w:rPr>
            <w:rStyle w:val="Hyperlink"/>
            <w:rFonts w:ascii="Arial" w:hAnsi="Arial" w:cs="Arial"/>
            <w:sz w:val="20"/>
            <w:szCs w:val="20"/>
          </w:rPr>
          <w:t>https://www.rbi.org.in/Scripts/NotificationUser.aspx?Id=12318&amp;Mode=0</w:t>
        </w:r>
      </w:hyperlink>
    </w:p>
    <w:p w:rsidR="005B3A67" w:rsidRPr="00470480" w:rsidRDefault="005B3A67" w:rsidP="005B3A67">
      <w:pPr>
        <w:pStyle w:val="NormalWeb"/>
        <w:rPr>
          <w:rFonts w:ascii="Arial" w:hAnsi="Arial" w:cs="Arial"/>
          <w:color w:val="000000"/>
          <w:sz w:val="20"/>
          <w:szCs w:val="20"/>
        </w:rPr>
      </w:pPr>
    </w:p>
    <w:p w:rsidR="005B3A67" w:rsidRPr="00470480" w:rsidRDefault="005B3A67" w:rsidP="005B3A67">
      <w:pPr>
        <w:pStyle w:val="NormalWeb"/>
        <w:rPr>
          <w:rFonts w:ascii="Arial" w:hAnsi="Arial" w:cs="Arial"/>
          <w:color w:val="000000"/>
          <w:sz w:val="20"/>
          <w:szCs w:val="20"/>
        </w:rPr>
      </w:pPr>
    </w:p>
    <w:p w:rsidR="005B3A67" w:rsidRPr="00470480" w:rsidRDefault="005B3A67" w:rsidP="005B3A67">
      <w:pPr>
        <w:pStyle w:val="NormalWeb"/>
        <w:rPr>
          <w:rFonts w:ascii="Arial" w:hAnsi="Arial" w:cs="Arial"/>
          <w:color w:val="000000"/>
          <w:sz w:val="20"/>
          <w:szCs w:val="20"/>
        </w:rPr>
      </w:pPr>
    </w:p>
    <w:p w:rsidR="005B3A67" w:rsidRPr="00470480" w:rsidRDefault="005B3A67" w:rsidP="005B3A67">
      <w:pPr>
        <w:pStyle w:val="NormalWeb"/>
        <w:rPr>
          <w:rFonts w:ascii="Arial" w:hAnsi="Arial" w:cs="Arial"/>
          <w:color w:val="000000"/>
          <w:sz w:val="20"/>
          <w:szCs w:val="20"/>
        </w:rPr>
      </w:pPr>
    </w:p>
    <w:p w:rsidR="005B3A67" w:rsidRPr="00470480" w:rsidRDefault="005B3A67" w:rsidP="005B3A67">
      <w:pPr>
        <w:pStyle w:val="NormalWeb"/>
        <w:rPr>
          <w:rFonts w:ascii="Arial" w:hAnsi="Arial" w:cs="Arial"/>
          <w:color w:val="000000"/>
          <w:sz w:val="20"/>
          <w:szCs w:val="20"/>
        </w:rPr>
      </w:pPr>
    </w:p>
    <w:p w:rsidR="005B3A67" w:rsidRPr="00470480" w:rsidRDefault="005B3A67" w:rsidP="005B3A67">
      <w:pPr>
        <w:pStyle w:val="NormalWeb"/>
        <w:rPr>
          <w:rFonts w:ascii="Arial" w:hAnsi="Arial" w:cs="Arial"/>
          <w:color w:val="000000"/>
          <w:sz w:val="20"/>
          <w:szCs w:val="20"/>
        </w:rPr>
      </w:pPr>
    </w:p>
    <w:p w:rsidR="005B3A67" w:rsidRPr="00470480" w:rsidRDefault="005B3A67" w:rsidP="005B3A67">
      <w:pPr>
        <w:pStyle w:val="NormalWeb"/>
        <w:rPr>
          <w:rFonts w:ascii="Arial" w:hAnsi="Arial" w:cs="Arial"/>
          <w:color w:val="000000"/>
          <w:sz w:val="20"/>
          <w:szCs w:val="20"/>
        </w:rPr>
      </w:pPr>
    </w:p>
    <w:p w:rsidR="005B3A67" w:rsidRPr="00470480" w:rsidRDefault="005B3A67" w:rsidP="005B3A67">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Lending by Commercial Banks to NBFCs and Small Finance Banks (SFBs) to NBFC-MFIs, for the purpose of on-lending to priority sectors</w:t>
      </w:r>
    </w:p>
    <w:p w:rsidR="005B3A67" w:rsidRPr="00470480" w:rsidRDefault="005B3A67" w:rsidP="005B3A6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RBI/2022-23/50</w:t>
      </w:r>
      <w:r w:rsidRPr="00470480">
        <w:rPr>
          <w:rFonts w:ascii="Arial" w:eastAsia="Times New Roman" w:hAnsi="Arial" w:cs="Arial"/>
          <w:color w:val="000000"/>
          <w:sz w:val="20"/>
          <w:szCs w:val="20"/>
          <w:lang w:eastAsia="en-IN"/>
        </w:rPr>
        <w:br/>
        <w:t>FIDD.CO.Plan.BC.No.5/04.09.01/2022-23</w:t>
      </w:r>
    </w:p>
    <w:p w:rsidR="005B3A67" w:rsidRPr="00470480" w:rsidRDefault="005B3A67" w:rsidP="005B3A67">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May 13, 2022</w:t>
      </w:r>
    </w:p>
    <w:p w:rsidR="005B3A67" w:rsidRPr="00470480" w:rsidRDefault="005B3A67" w:rsidP="005B3A67">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The Chairman/ Managing Director/</w:t>
      </w:r>
      <w:r w:rsidRPr="00470480">
        <w:rPr>
          <w:rFonts w:ascii="Arial" w:eastAsia="Times New Roman" w:hAnsi="Arial" w:cs="Arial"/>
          <w:color w:val="000000"/>
          <w:sz w:val="20"/>
          <w:szCs w:val="20"/>
          <w:lang w:eastAsia="en-IN"/>
        </w:rPr>
        <w:br/>
        <w:t>Chief Executive Officer</w:t>
      </w:r>
      <w:r w:rsidRPr="00470480">
        <w:rPr>
          <w:rFonts w:ascii="Arial" w:eastAsia="Times New Roman" w:hAnsi="Arial" w:cs="Arial"/>
          <w:color w:val="000000"/>
          <w:sz w:val="20"/>
          <w:szCs w:val="20"/>
          <w:lang w:eastAsia="en-IN"/>
        </w:rPr>
        <w:br/>
        <w:t>All Scheduled Commercial Banks (Including Small Finance Banks)</w:t>
      </w:r>
      <w:r w:rsidRPr="00470480">
        <w:rPr>
          <w:rFonts w:ascii="Arial" w:eastAsia="Times New Roman" w:hAnsi="Arial" w:cs="Arial"/>
          <w:color w:val="000000"/>
          <w:sz w:val="20"/>
          <w:szCs w:val="20"/>
          <w:lang w:eastAsia="en-IN"/>
        </w:rPr>
        <w:br/>
        <w:t>(Excluding Regional Rural Banks, Urban Co-operative Banks and Local Area Banks)</w:t>
      </w:r>
    </w:p>
    <w:p w:rsidR="005B3A67" w:rsidRPr="00470480" w:rsidRDefault="005B3A67" w:rsidP="005B3A6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Dear Sir/Madam,</w:t>
      </w:r>
    </w:p>
    <w:p w:rsidR="005B3A67" w:rsidRPr="00470480" w:rsidRDefault="005B3A67" w:rsidP="005B3A67">
      <w:pPr>
        <w:spacing w:before="100" w:beforeAutospacing="1" w:after="100" w:afterAutospacing="1" w:line="240" w:lineRule="auto"/>
        <w:jc w:val="both"/>
        <w:rPr>
          <w:rFonts w:ascii="Arial" w:eastAsia="Times New Roman" w:hAnsi="Arial" w:cs="Arial"/>
          <w:b/>
          <w:bCs/>
          <w:color w:val="000000"/>
          <w:sz w:val="20"/>
          <w:szCs w:val="20"/>
          <w:lang w:eastAsia="en-IN"/>
        </w:rPr>
      </w:pPr>
      <w:r w:rsidRPr="00470480">
        <w:rPr>
          <w:rFonts w:ascii="Arial" w:eastAsia="Times New Roman" w:hAnsi="Arial" w:cs="Arial"/>
          <w:b/>
          <w:bCs/>
          <w:color w:val="000000"/>
          <w:sz w:val="20"/>
          <w:szCs w:val="20"/>
          <w:lang w:eastAsia="en-IN"/>
        </w:rPr>
        <w:t>Lending by Commercial Banks to NBFCs and Small Finance Banks (SFBs) to NBFC-MFIs, for the purpose of on-lending to priority sectors</w:t>
      </w:r>
    </w:p>
    <w:p w:rsidR="005B3A67" w:rsidRPr="00470480" w:rsidRDefault="005B3A67" w:rsidP="005B3A6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Please refer to para nos. 21.2, 21.3, 22 and 24 of the </w:t>
      </w:r>
      <w:hyperlink r:id="rId88" w:tgtFrame="_blank" w:history="1">
        <w:r w:rsidRPr="00470480">
          <w:rPr>
            <w:rFonts w:ascii="Arial" w:eastAsia="Times New Roman" w:hAnsi="Arial" w:cs="Arial"/>
            <w:color w:val="0000FF"/>
            <w:sz w:val="20"/>
            <w:szCs w:val="20"/>
            <w:u w:val="single"/>
            <w:lang w:eastAsia="en-IN"/>
          </w:rPr>
          <w:t>Master Directions on Priority Sector Lending dated September 4, 2020</w:t>
        </w:r>
      </w:hyperlink>
      <w:r w:rsidRPr="00470480">
        <w:rPr>
          <w:rFonts w:ascii="Arial" w:eastAsia="Times New Roman" w:hAnsi="Arial" w:cs="Arial"/>
          <w:color w:val="000000"/>
          <w:sz w:val="20"/>
          <w:szCs w:val="20"/>
          <w:lang w:eastAsia="en-IN"/>
        </w:rPr>
        <w:t> (updated from time to time), along with </w:t>
      </w:r>
      <w:hyperlink r:id="rId89" w:tgtFrame="_blank" w:history="1">
        <w:r w:rsidRPr="00470480">
          <w:rPr>
            <w:rFonts w:ascii="Arial" w:eastAsia="Times New Roman" w:hAnsi="Arial" w:cs="Arial"/>
            <w:color w:val="0000FF"/>
            <w:sz w:val="20"/>
            <w:szCs w:val="20"/>
            <w:u w:val="single"/>
            <w:lang w:eastAsia="en-IN"/>
          </w:rPr>
          <w:t xml:space="preserve">notifications </w:t>
        </w:r>
        <w:proofErr w:type="spellStart"/>
        <w:r w:rsidRPr="00470480">
          <w:rPr>
            <w:rFonts w:ascii="Arial" w:eastAsia="Times New Roman" w:hAnsi="Arial" w:cs="Arial"/>
            <w:color w:val="0000FF"/>
            <w:sz w:val="20"/>
            <w:szCs w:val="20"/>
            <w:u w:val="single"/>
            <w:lang w:eastAsia="en-IN"/>
          </w:rPr>
          <w:t>FIDD.CO.Plan</w:t>
        </w:r>
        <w:proofErr w:type="spellEnd"/>
        <w:r w:rsidRPr="00470480">
          <w:rPr>
            <w:rFonts w:ascii="Arial" w:eastAsia="Times New Roman" w:hAnsi="Arial" w:cs="Arial"/>
            <w:color w:val="0000FF"/>
            <w:sz w:val="20"/>
            <w:szCs w:val="20"/>
            <w:u w:val="single"/>
            <w:lang w:eastAsia="en-IN"/>
          </w:rPr>
          <w:t>. BC.No.15/04.09.01/2021-22 dated October 8, 2021</w:t>
        </w:r>
      </w:hyperlink>
      <w:r w:rsidRPr="00470480">
        <w:rPr>
          <w:rFonts w:ascii="Arial" w:eastAsia="Times New Roman" w:hAnsi="Arial" w:cs="Arial"/>
          <w:color w:val="000000"/>
          <w:sz w:val="20"/>
          <w:szCs w:val="20"/>
          <w:lang w:eastAsia="en-IN"/>
        </w:rPr>
        <w:t> and </w:t>
      </w:r>
      <w:hyperlink r:id="rId90" w:tgtFrame="_blank" w:history="1">
        <w:r w:rsidRPr="00470480">
          <w:rPr>
            <w:rFonts w:ascii="Arial" w:eastAsia="Times New Roman" w:hAnsi="Arial" w:cs="Arial"/>
            <w:color w:val="0000FF"/>
            <w:sz w:val="20"/>
            <w:szCs w:val="20"/>
            <w:u w:val="single"/>
            <w:lang w:eastAsia="en-IN"/>
          </w:rPr>
          <w:t>FIDD.CO.Plan.BC.No.10/04.09.01/2021-22 dated May 5, 2021</w:t>
        </w:r>
      </w:hyperlink>
      <w:r w:rsidRPr="00470480">
        <w:rPr>
          <w:rFonts w:ascii="Arial" w:eastAsia="Times New Roman" w:hAnsi="Arial" w:cs="Arial"/>
          <w:color w:val="000000"/>
          <w:sz w:val="20"/>
          <w:szCs w:val="20"/>
          <w:lang w:eastAsia="en-IN"/>
        </w:rPr>
        <w:t> wherein lending by commercial banks to NBFCs and lending by Small Finance Banks (SFBs) to NBFC-MFIs, for the purpose of on-lending to certain priority sectors, was permitted up to March 31, 2022.</w:t>
      </w:r>
    </w:p>
    <w:p w:rsidR="005B3A67" w:rsidRPr="00470480" w:rsidRDefault="005B3A67" w:rsidP="005B3A6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2. To ensure continuation of the synergies that have been developed between banks and NBFCs in delivering credit to the specified priority sectors, it has been decided to allow the above facility on an on-going basis.</w:t>
      </w:r>
    </w:p>
    <w:p w:rsidR="005B3A67" w:rsidRPr="00470480" w:rsidRDefault="005B3A67" w:rsidP="005B3A6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3. Bank credit to NBFCs (including HFCs) for on-lending will be allowed up to an overall limit of 5 percent of an individual bank’s total priority sector lending in case of commercial banks. In case of SFBs, credit to NBFC-MFIs and other MFIs (Societies, Trusts, etc.) which are members of RBI recognized ‘Self-Regulatory Organisation’ of the sector, will be allowed up to an overall limit of 10 percent of an individual bank’s total priority sector lending. These limits shall be computed by averaging across four quarters of the financial year, to determine adherence to the prescribed cap.</w:t>
      </w:r>
    </w:p>
    <w:p w:rsidR="005B3A67" w:rsidRPr="00470480" w:rsidRDefault="005B3A67" w:rsidP="005B3A6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4. SFBs are allowed to lend to registered NBFC-MFIs and other MFIs which have a ‘gross loan portfolio’ (GLP) of up to ₹500 </w:t>
      </w:r>
      <w:proofErr w:type="gramStart"/>
      <w:r w:rsidRPr="00470480">
        <w:rPr>
          <w:rFonts w:ascii="Arial" w:eastAsia="Times New Roman" w:hAnsi="Arial" w:cs="Arial"/>
          <w:color w:val="000000"/>
          <w:sz w:val="20"/>
          <w:szCs w:val="20"/>
          <w:lang w:eastAsia="en-IN"/>
        </w:rPr>
        <w:t>crore</w:t>
      </w:r>
      <w:proofErr w:type="gramEnd"/>
      <w:r w:rsidRPr="00470480">
        <w:rPr>
          <w:rFonts w:ascii="Arial" w:eastAsia="Times New Roman" w:hAnsi="Arial" w:cs="Arial"/>
          <w:color w:val="000000"/>
          <w:sz w:val="20"/>
          <w:szCs w:val="20"/>
          <w:lang w:eastAsia="en-IN"/>
        </w:rPr>
        <w:t xml:space="preserve"> as on March 31 of the previous financial year, for the purpose of on-lending to priority sector. In case the GLP of the NBFC-MFIs/other MFIs exceeds the stipulated limit at a later date, all priority sector loans created prior to exceeding the GLP limit will continue to be classified by the SFBs as PSL till repayment/maturity, whichever is earlier.</w:t>
      </w:r>
    </w:p>
    <w:p w:rsidR="005B3A67" w:rsidRPr="00470480" w:rsidRDefault="005B3A67" w:rsidP="005B3A6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Yours faithfully,</w:t>
      </w:r>
    </w:p>
    <w:p w:rsidR="005B3A67" w:rsidRPr="00470480" w:rsidRDefault="005B3A67" w:rsidP="005B3A67">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w:t>
      </w:r>
      <w:proofErr w:type="spellStart"/>
      <w:r w:rsidRPr="00470480">
        <w:rPr>
          <w:rFonts w:ascii="Arial" w:eastAsia="Times New Roman" w:hAnsi="Arial" w:cs="Arial"/>
          <w:color w:val="000000"/>
          <w:sz w:val="20"/>
          <w:szCs w:val="20"/>
          <w:lang w:eastAsia="en-IN"/>
        </w:rPr>
        <w:t>Sonali</w:t>
      </w:r>
      <w:proofErr w:type="spellEnd"/>
      <w:r w:rsidRPr="00470480">
        <w:rPr>
          <w:rFonts w:ascii="Arial" w:eastAsia="Times New Roman" w:hAnsi="Arial" w:cs="Arial"/>
          <w:color w:val="000000"/>
          <w:sz w:val="20"/>
          <w:szCs w:val="20"/>
          <w:lang w:eastAsia="en-IN"/>
        </w:rPr>
        <w:t xml:space="preserve"> Sen Gupta)</w:t>
      </w:r>
      <w:r w:rsidRPr="00470480">
        <w:rPr>
          <w:rFonts w:ascii="Arial" w:eastAsia="Times New Roman" w:hAnsi="Arial" w:cs="Arial"/>
          <w:color w:val="000000"/>
          <w:sz w:val="20"/>
          <w:szCs w:val="20"/>
          <w:lang w:eastAsia="en-IN"/>
        </w:rPr>
        <w:br/>
        <w:t>Chief General Manager-in-Charge</w:t>
      </w:r>
    </w:p>
    <w:p w:rsidR="005B3A67" w:rsidRPr="00470480" w:rsidRDefault="005B3A67" w:rsidP="005B3A67">
      <w:pPr>
        <w:spacing w:before="100" w:beforeAutospacing="1" w:after="100" w:afterAutospacing="1" w:line="240" w:lineRule="auto"/>
        <w:rPr>
          <w:rFonts w:ascii="Arial" w:eastAsia="Times New Roman" w:hAnsi="Arial" w:cs="Arial"/>
          <w:color w:val="000000"/>
          <w:sz w:val="20"/>
          <w:szCs w:val="20"/>
          <w:lang w:eastAsia="en-IN"/>
        </w:rPr>
      </w:pPr>
    </w:p>
    <w:p w:rsidR="005B3A67" w:rsidRPr="00470480" w:rsidRDefault="005B3A67" w:rsidP="005B3A67">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Reference Link: </w:t>
      </w:r>
      <w:hyperlink r:id="rId91" w:history="1">
        <w:r w:rsidRPr="00470480">
          <w:rPr>
            <w:rStyle w:val="Hyperlink"/>
            <w:rFonts w:ascii="Arial" w:eastAsia="Times New Roman" w:hAnsi="Arial" w:cs="Arial"/>
            <w:sz w:val="20"/>
            <w:szCs w:val="20"/>
            <w:lang w:eastAsia="en-IN"/>
          </w:rPr>
          <w:t>https://www.rbi.org.in/Scripts/NotificationUser.aspx?Id=12317&amp;Mode=0</w:t>
        </w:r>
      </w:hyperlink>
    </w:p>
    <w:p w:rsidR="005B3A67" w:rsidRPr="00470480" w:rsidRDefault="005B3A67" w:rsidP="005B3A67">
      <w:pPr>
        <w:spacing w:before="100" w:beforeAutospacing="1" w:after="100" w:afterAutospacing="1" w:line="240" w:lineRule="auto"/>
        <w:rPr>
          <w:rFonts w:ascii="Arial" w:eastAsia="Times New Roman" w:hAnsi="Arial" w:cs="Arial"/>
          <w:color w:val="000000"/>
          <w:sz w:val="20"/>
          <w:szCs w:val="20"/>
          <w:lang w:eastAsia="en-IN"/>
        </w:rPr>
      </w:pPr>
    </w:p>
    <w:p w:rsidR="005B3A67" w:rsidRPr="00470480" w:rsidRDefault="005B3A67" w:rsidP="005B3A67">
      <w:pPr>
        <w:spacing w:before="100" w:beforeAutospacing="1" w:after="100" w:afterAutospacing="1" w:line="240" w:lineRule="auto"/>
        <w:rPr>
          <w:rFonts w:ascii="Arial" w:eastAsia="Times New Roman" w:hAnsi="Arial" w:cs="Arial"/>
          <w:color w:val="000000"/>
          <w:sz w:val="20"/>
          <w:szCs w:val="20"/>
          <w:lang w:eastAsia="en-IN"/>
        </w:rPr>
      </w:pPr>
    </w:p>
    <w:p w:rsidR="00823298" w:rsidRPr="00470480" w:rsidRDefault="00823298" w:rsidP="005B3A67">
      <w:pPr>
        <w:spacing w:before="100" w:beforeAutospacing="1" w:after="100" w:afterAutospacing="1" w:line="240" w:lineRule="auto"/>
        <w:rPr>
          <w:rFonts w:ascii="Arial" w:eastAsia="Times New Roman" w:hAnsi="Arial" w:cs="Arial"/>
          <w:color w:val="000000"/>
          <w:sz w:val="20"/>
          <w:szCs w:val="20"/>
          <w:lang w:eastAsia="en-IN"/>
        </w:rPr>
      </w:pPr>
    </w:p>
    <w:p w:rsidR="00823298" w:rsidRPr="00470480" w:rsidRDefault="00823298" w:rsidP="005B3A67">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hAnsi="Arial" w:cs="Arial"/>
          <w:b/>
          <w:bCs/>
          <w:color w:val="000000"/>
          <w:sz w:val="20"/>
          <w:szCs w:val="20"/>
        </w:rPr>
        <w:lastRenderedPageBreak/>
        <w:t>Review of Minimum Investment Grade Credit Ratings for Deposits of NBFCs</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RBI/2022-23/37</w:t>
      </w:r>
      <w:r w:rsidRPr="00470480">
        <w:rPr>
          <w:rFonts w:ascii="Arial" w:hAnsi="Arial" w:cs="Arial"/>
          <w:color w:val="000000"/>
          <w:sz w:val="20"/>
          <w:szCs w:val="20"/>
        </w:rPr>
        <w:br/>
        <w:t>DOR.FIN.REC.No.30/03.10.001/2022-23</w:t>
      </w:r>
    </w:p>
    <w:p w:rsidR="00823298" w:rsidRPr="00470480" w:rsidRDefault="00823298" w:rsidP="00823298">
      <w:pPr>
        <w:pStyle w:val="NormalWeb"/>
        <w:jc w:val="right"/>
        <w:rPr>
          <w:rFonts w:ascii="Arial" w:hAnsi="Arial" w:cs="Arial"/>
          <w:color w:val="000000"/>
          <w:sz w:val="20"/>
          <w:szCs w:val="20"/>
        </w:rPr>
      </w:pPr>
      <w:r w:rsidRPr="00470480">
        <w:rPr>
          <w:rFonts w:ascii="Arial" w:hAnsi="Arial" w:cs="Arial"/>
          <w:color w:val="000000"/>
          <w:sz w:val="20"/>
          <w:szCs w:val="20"/>
        </w:rPr>
        <w:t>May 02, 2022</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All Deposit taking NBFCs (including deposit taking HFCs)</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823298" w:rsidRPr="00470480" w:rsidRDefault="00823298" w:rsidP="00823298">
      <w:pPr>
        <w:pStyle w:val="head"/>
        <w:jc w:val="both"/>
        <w:rPr>
          <w:rFonts w:ascii="Arial" w:hAnsi="Arial" w:cs="Arial"/>
          <w:b/>
          <w:bCs/>
          <w:color w:val="000000"/>
          <w:sz w:val="20"/>
          <w:szCs w:val="20"/>
        </w:rPr>
      </w:pPr>
      <w:r w:rsidRPr="00470480">
        <w:rPr>
          <w:rFonts w:ascii="Arial" w:hAnsi="Arial" w:cs="Arial"/>
          <w:b/>
          <w:bCs/>
          <w:color w:val="000000"/>
          <w:sz w:val="20"/>
          <w:szCs w:val="20"/>
        </w:rPr>
        <w:t>Review of Minimum Investment Grade Credit Ratings for Deposits of NBFCs</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Please refer to para 9 of </w:t>
      </w:r>
      <w:hyperlink r:id="rId92" w:tgtFrame="_blank" w:history="1">
        <w:r w:rsidRPr="00470480">
          <w:rPr>
            <w:rStyle w:val="Hyperlink"/>
            <w:rFonts w:ascii="Arial" w:hAnsi="Arial" w:cs="Arial"/>
            <w:sz w:val="20"/>
            <w:szCs w:val="20"/>
          </w:rPr>
          <w:t>Master Direction – Non-Banking Financial Companies Acceptance of Public Deposits (Reserve Bank) Directions, 2016</w:t>
        </w:r>
      </w:hyperlink>
      <w:r w:rsidRPr="00470480">
        <w:rPr>
          <w:rFonts w:ascii="Arial" w:hAnsi="Arial" w:cs="Arial"/>
          <w:color w:val="000000"/>
          <w:sz w:val="20"/>
          <w:szCs w:val="20"/>
        </w:rPr>
        <w:t> wherein the names of approved credit rating agencies and their respective minimum investment grade credit rating for the purpose of accepting public deposits by NBFCs have been listed.</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2. On a review, it has been decided that the minimum investment grade credit rating for deposits of NBFCs shall be ‘BBB–’ from any of the SEBI-registered Credit Rating Agencies.</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3. The </w:t>
      </w:r>
      <w:hyperlink r:id="rId93" w:tgtFrame="_blank" w:history="1">
        <w:r w:rsidRPr="00470480">
          <w:rPr>
            <w:rStyle w:val="Hyperlink"/>
            <w:rFonts w:ascii="Arial" w:hAnsi="Arial" w:cs="Arial"/>
            <w:sz w:val="20"/>
            <w:szCs w:val="20"/>
          </w:rPr>
          <w:t>Master Direction – Non-Banking Financial Companies Acceptance of Public Deposits (Reserve Bank) Directions, 2016</w:t>
        </w:r>
      </w:hyperlink>
      <w:r w:rsidRPr="00470480">
        <w:rPr>
          <w:rFonts w:ascii="Arial" w:hAnsi="Arial" w:cs="Arial"/>
          <w:color w:val="000000"/>
          <w:sz w:val="20"/>
          <w:szCs w:val="20"/>
        </w:rPr>
        <w:t> is being modified accordingly.</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23298" w:rsidRPr="00470480" w:rsidRDefault="00823298" w:rsidP="00823298">
      <w:pPr>
        <w:pStyle w:val="NormalWeb"/>
        <w:rPr>
          <w:rFonts w:ascii="Arial" w:hAnsi="Arial" w:cs="Arial"/>
          <w:color w:val="000000"/>
          <w:sz w:val="20"/>
          <w:szCs w:val="20"/>
        </w:rPr>
      </w:pPr>
      <w:r w:rsidRPr="00470480">
        <w:rPr>
          <w:rFonts w:ascii="Arial" w:hAnsi="Arial" w:cs="Arial"/>
          <w:color w:val="000000"/>
          <w:sz w:val="20"/>
          <w:szCs w:val="20"/>
        </w:rPr>
        <w:t>(J.P. Sharma)</w:t>
      </w:r>
      <w:r w:rsidRPr="00470480">
        <w:rPr>
          <w:rFonts w:ascii="Arial" w:hAnsi="Arial" w:cs="Arial"/>
          <w:color w:val="000000"/>
          <w:sz w:val="20"/>
          <w:szCs w:val="20"/>
        </w:rPr>
        <w:br/>
        <w:t>Chief General Manager</w:t>
      </w:r>
    </w:p>
    <w:p w:rsidR="00AC68C8" w:rsidRDefault="00AC68C8" w:rsidP="00823298">
      <w:pPr>
        <w:pStyle w:val="NormalWeb"/>
        <w:rPr>
          <w:rFonts w:ascii="Arial" w:hAnsi="Arial" w:cs="Arial"/>
          <w:color w:val="000000"/>
          <w:sz w:val="20"/>
          <w:szCs w:val="20"/>
        </w:rPr>
      </w:pPr>
    </w:p>
    <w:p w:rsidR="00AC68C8" w:rsidRDefault="00AC68C8" w:rsidP="00823298">
      <w:pPr>
        <w:pStyle w:val="NormalWeb"/>
        <w:rPr>
          <w:rFonts w:ascii="Arial" w:hAnsi="Arial" w:cs="Arial"/>
          <w:color w:val="000000"/>
          <w:sz w:val="20"/>
          <w:szCs w:val="20"/>
        </w:rPr>
      </w:pPr>
    </w:p>
    <w:p w:rsidR="00823298" w:rsidRPr="00470480" w:rsidRDefault="00823298" w:rsidP="00823298">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94" w:history="1">
        <w:r w:rsidRPr="00470480">
          <w:rPr>
            <w:rStyle w:val="Hyperlink"/>
            <w:rFonts w:ascii="Arial" w:hAnsi="Arial" w:cs="Arial"/>
            <w:sz w:val="20"/>
            <w:szCs w:val="20"/>
          </w:rPr>
          <w:t>https://www.rbi.org.in/Scripts/NotificationUser.aspx?Id=12304&amp;Mode=0</w:t>
        </w:r>
      </w:hyperlink>
    </w:p>
    <w:p w:rsidR="00823298" w:rsidRPr="00470480" w:rsidRDefault="00823298" w:rsidP="00823298">
      <w:pPr>
        <w:pStyle w:val="NormalWeb"/>
        <w:rPr>
          <w:rFonts w:ascii="Arial" w:hAnsi="Arial" w:cs="Arial"/>
          <w:color w:val="000000"/>
          <w:sz w:val="20"/>
          <w:szCs w:val="20"/>
        </w:rPr>
      </w:pPr>
    </w:p>
    <w:p w:rsidR="00823298" w:rsidRPr="00470480" w:rsidRDefault="00823298" w:rsidP="005B3A67">
      <w:pPr>
        <w:spacing w:before="100" w:beforeAutospacing="1" w:after="100" w:afterAutospacing="1" w:line="240" w:lineRule="auto"/>
        <w:rPr>
          <w:rFonts w:ascii="Arial" w:eastAsia="Times New Roman" w:hAnsi="Arial" w:cs="Arial"/>
          <w:color w:val="000000"/>
          <w:sz w:val="20"/>
          <w:szCs w:val="20"/>
          <w:lang w:eastAsia="en-IN"/>
        </w:rPr>
      </w:pPr>
    </w:p>
    <w:p w:rsidR="005B3A67" w:rsidRPr="00470480" w:rsidRDefault="005B3A67" w:rsidP="005B3A67">
      <w:pPr>
        <w:spacing w:before="100" w:beforeAutospacing="1" w:after="100" w:afterAutospacing="1" w:line="240" w:lineRule="auto"/>
        <w:rPr>
          <w:rFonts w:ascii="Arial" w:eastAsia="Times New Roman" w:hAnsi="Arial" w:cs="Arial"/>
          <w:color w:val="000000"/>
          <w:sz w:val="20"/>
          <w:szCs w:val="20"/>
          <w:lang w:eastAsia="en-IN"/>
        </w:rPr>
      </w:pPr>
    </w:p>
    <w:p w:rsidR="00823298" w:rsidRPr="00470480" w:rsidRDefault="00823298" w:rsidP="005B3A67">
      <w:pPr>
        <w:spacing w:before="100" w:beforeAutospacing="1" w:after="100" w:afterAutospacing="1" w:line="240" w:lineRule="auto"/>
        <w:rPr>
          <w:rFonts w:ascii="Arial" w:hAnsi="Arial" w:cs="Arial"/>
          <w:b/>
          <w:bCs/>
          <w:color w:val="000000"/>
          <w:sz w:val="20"/>
          <w:szCs w:val="20"/>
        </w:rPr>
      </w:pPr>
    </w:p>
    <w:p w:rsidR="00823298" w:rsidRPr="00470480" w:rsidRDefault="00823298" w:rsidP="005B3A67">
      <w:pPr>
        <w:spacing w:before="100" w:beforeAutospacing="1" w:after="100" w:afterAutospacing="1" w:line="240" w:lineRule="auto"/>
        <w:rPr>
          <w:rFonts w:ascii="Arial" w:hAnsi="Arial" w:cs="Arial"/>
          <w:b/>
          <w:bCs/>
          <w:color w:val="000000"/>
          <w:sz w:val="20"/>
          <w:szCs w:val="20"/>
        </w:rPr>
      </w:pPr>
    </w:p>
    <w:p w:rsidR="00823298" w:rsidRPr="00470480" w:rsidRDefault="00823298" w:rsidP="005B3A67">
      <w:pPr>
        <w:spacing w:before="100" w:beforeAutospacing="1" w:after="100" w:afterAutospacing="1" w:line="240" w:lineRule="auto"/>
        <w:rPr>
          <w:rFonts w:ascii="Arial" w:hAnsi="Arial" w:cs="Arial"/>
          <w:b/>
          <w:bCs/>
          <w:color w:val="000000"/>
          <w:sz w:val="20"/>
          <w:szCs w:val="20"/>
        </w:rPr>
      </w:pPr>
    </w:p>
    <w:p w:rsidR="00823298" w:rsidRPr="00470480" w:rsidRDefault="00823298" w:rsidP="005B3A67">
      <w:pPr>
        <w:spacing w:before="100" w:beforeAutospacing="1" w:after="100" w:afterAutospacing="1" w:line="240" w:lineRule="auto"/>
        <w:rPr>
          <w:rFonts w:ascii="Arial" w:hAnsi="Arial" w:cs="Arial"/>
          <w:b/>
          <w:bCs/>
          <w:color w:val="000000"/>
          <w:sz w:val="20"/>
          <w:szCs w:val="20"/>
        </w:rPr>
      </w:pPr>
    </w:p>
    <w:p w:rsidR="00823298" w:rsidRPr="00470480" w:rsidRDefault="00823298" w:rsidP="005B3A67">
      <w:pPr>
        <w:spacing w:before="100" w:beforeAutospacing="1" w:after="100" w:afterAutospacing="1" w:line="240" w:lineRule="auto"/>
        <w:rPr>
          <w:rFonts w:ascii="Arial" w:hAnsi="Arial" w:cs="Arial"/>
          <w:b/>
          <w:bCs/>
          <w:color w:val="000000"/>
          <w:sz w:val="20"/>
          <w:szCs w:val="20"/>
        </w:rPr>
      </w:pPr>
    </w:p>
    <w:p w:rsidR="00823298" w:rsidRPr="00470480" w:rsidRDefault="00823298" w:rsidP="005B3A67">
      <w:pPr>
        <w:spacing w:before="100" w:beforeAutospacing="1" w:after="100" w:afterAutospacing="1" w:line="240" w:lineRule="auto"/>
        <w:rPr>
          <w:rFonts w:ascii="Arial" w:hAnsi="Arial" w:cs="Arial"/>
          <w:b/>
          <w:bCs/>
          <w:color w:val="000000"/>
          <w:sz w:val="20"/>
          <w:szCs w:val="20"/>
        </w:rPr>
      </w:pPr>
    </w:p>
    <w:p w:rsidR="00AC68C8" w:rsidRDefault="00AC68C8" w:rsidP="005B3A67">
      <w:pPr>
        <w:spacing w:before="100" w:beforeAutospacing="1" w:after="100" w:afterAutospacing="1" w:line="240" w:lineRule="auto"/>
        <w:rPr>
          <w:rFonts w:ascii="Arial" w:hAnsi="Arial" w:cs="Arial"/>
          <w:b/>
          <w:bCs/>
          <w:color w:val="000000"/>
          <w:sz w:val="20"/>
          <w:szCs w:val="20"/>
        </w:rPr>
      </w:pPr>
    </w:p>
    <w:p w:rsidR="005B3A67" w:rsidRPr="00470480" w:rsidRDefault="00DC2321" w:rsidP="005B3A67">
      <w:pPr>
        <w:spacing w:before="100" w:beforeAutospacing="1" w:after="100" w:afterAutospacing="1" w:line="240" w:lineRule="auto"/>
        <w:rPr>
          <w:rFonts w:ascii="Arial" w:hAnsi="Arial" w:cs="Arial"/>
          <w:b/>
          <w:bCs/>
          <w:color w:val="000000"/>
          <w:sz w:val="20"/>
          <w:szCs w:val="20"/>
        </w:rPr>
      </w:pPr>
      <w:r w:rsidRPr="00470480">
        <w:rPr>
          <w:rFonts w:ascii="Arial" w:hAnsi="Arial" w:cs="Arial"/>
          <w:b/>
          <w:bCs/>
          <w:color w:val="000000"/>
          <w:sz w:val="20"/>
          <w:szCs w:val="20"/>
        </w:rPr>
        <w:lastRenderedPageBreak/>
        <w:t>Guidelines on Compensation of Key Managerial Personnel (KMP) and Senior Management in NBFCs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RBI/2022-23/36</w:t>
      </w:r>
      <w:r w:rsidRPr="00470480">
        <w:rPr>
          <w:rFonts w:ascii="Arial" w:hAnsi="Arial" w:cs="Arial"/>
          <w:color w:val="000000"/>
          <w:sz w:val="20"/>
          <w:szCs w:val="20"/>
        </w:rPr>
        <w:br/>
        <w:t>DOR.GOV.REC.No.29/18.10.002/2022-23</w:t>
      </w:r>
    </w:p>
    <w:p w:rsidR="00DC2321" w:rsidRPr="00470480" w:rsidRDefault="00DC2321" w:rsidP="00DC2321">
      <w:pPr>
        <w:pStyle w:val="NormalWeb"/>
        <w:jc w:val="right"/>
        <w:rPr>
          <w:rFonts w:ascii="Arial" w:hAnsi="Arial" w:cs="Arial"/>
          <w:color w:val="000000"/>
          <w:sz w:val="20"/>
          <w:szCs w:val="20"/>
        </w:rPr>
      </w:pPr>
      <w:r w:rsidRPr="00470480">
        <w:rPr>
          <w:rFonts w:ascii="Arial" w:hAnsi="Arial" w:cs="Arial"/>
          <w:color w:val="000000"/>
          <w:sz w:val="20"/>
          <w:szCs w:val="20"/>
        </w:rPr>
        <w:t>April 29, 2022</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All Non-Banking Financial Companies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Madam/Sir,</w:t>
      </w:r>
    </w:p>
    <w:p w:rsidR="00DC2321" w:rsidRPr="00470480" w:rsidRDefault="00DC2321" w:rsidP="00DC2321">
      <w:pPr>
        <w:pStyle w:val="head"/>
        <w:jc w:val="both"/>
        <w:rPr>
          <w:rFonts w:ascii="Arial" w:hAnsi="Arial" w:cs="Arial"/>
          <w:b/>
          <w:bCs/>
          <w:color w:val="000000"/>
          <w:sz w:val="20"/>
          <w:szCs w:val="20"/>
        </w:rPr>
      </w:pPr>
      <w:r w:rsidRPr="00470480">
        <w:rPr>
          <w:rFonts w:ascii="Arial" w:hAnsi="Arial" w:cs="Arial"/>
          <w:b/>
          <w:bCs/>
          <w:color w:val="000000"/>
          <w:sz w:val="20"/>
          <w:szCs w:val="20"/>
        </w:rPr>
        <w:t>Guidelines on Compensation of Key Managerial Personnel (KMP) and Senior Management in NBFCs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As you are aware, a revised Scale Based Regulatory (SBR) framework for NBFCs was put in place vide </w:t>
      </w:r>
      <w:hyperlink r:id="rId95" w:tgtFrame="_blank" w:history="1">
        <w:r w:rsidRPr="00470480">
          <w:rPr>
            <w:rStyle w:val="Hyperlink"/>
            <w:rFonts w:ascii="Arial" w:hAnsi="Arial" w:cs="Arial"/>
            <w:sz w:val="20"/>
            <w:szCs w:val="20"/>
          </w:rPr>
          <w:t>circular DOR.CRE.REC.No.60/03.10.001/2021-22 October 22, 2021</w:t>
        </w:r>
      </w:hyperlink>
      <w:r w:rsidRPr="00470480">
        <w:rPr>
          <w:rFonts w:ascii="Arial" w:hAnsi="Arial" w:cs="Arial"/>
          <w:color w:val="000000"/>
          <w:sz w:val="20"/>
          <w:szCs w:val="20"/>
        </w:rPr>
        <w:t xml:space="preserve">. In terms of para 3.2.3 (h) of the said circular, in order to address issues arising out of excessive risk taking caused by misaligned compensation packages, NBFCs are required to put in place a Board approved compensation policy. The policy shall at the minimum include, (a) constitution of a Remuneration Committee, (b) principles for fixed/ variable pay structures, and (c) </w:t>
      </w:r>
      <w:proofErr w:type="spellStart"/>
      <w:r w:rsidRPr="00470480">
        <w:rPr>
          <w:rFonts w:ascii="Arial" w:hAnsi="Arial" w:cs="Arial"/>
          <w:color w:val="000000"/>
          <w:sz w:val="20"/>
          <w:szCs w:val="20"/>
        </w:rPr>
        <w:t>malus</w:t>
      </w:r>
      <w:proofErr w:type="spellEnd"/>
      <w:r w:rsidRPr="00470480">
        <w:rPr>
          <w:rFonts w:ascii="Arial" w:hAnsi="Arial" w:cs="Arial"/>
          <w:color w:val="000000"/>
          <w:sz w:val="20"/>
          <w:szCs w:val="20"/>
        </w:rPr>
        <w:t>/ clawback provisions. Further, in terms of para 3.2.3 (</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it was also decided that the Board of NBFCs should delineate the role of various committees, including Nomination and Remuneration Committee (NRC). It was envisaged that detailed circulars will be issued in due course by the Reserve Bank. Accordingly, these guidelines have now been framed and furnished in </w:t>
      </w:r>
      <w:hyperlink r:id="rId96" w:anchor="AN_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2. The guidelines are intended only for providing broad guidance to NBFCs and their NRCs in formulating their compensation policy. While formulating the compensation policy, it has to be ensured that all statutory mandates and the rules and directions issued under them are fully complied with.</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3. These guidelines will be applicable for fixing the compensation policy of Key Managerial Personnel</w:t>
      </w:r>
      <w:hyperlink r:id="rId97"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and members of senior management</w:t>
      </w:r>
      <w:hyperlink r:id="rId98" w:anchor="F2" w:history="1">
        <w:r w:rsidRPr="00470480">
          <w:rPr>
            <w:rStyle w:val="Hyperlink"/>
            <w:rFonts w:ascii="Arial" w:hAnsi="Arial" w:cs="Arial"/>
            <w:sz w:val="20"/>
            <w:szCs w:val="20"/>
            <w:vertAlign w:val="superscript"/>
          </w:rPr>
          <w:t>2</w:t>
        </w:r>
      </w:hyperlink>
      <w:r w:rsidRPr="00470480">
        <w:rPr>
          <w:rFonts w:ascii="Arial" w:hAnsi="Arial" w:cs="Arial"/>
          <w:color w:val="000000"/>
          <w:sz w:val="20"/>
          <w:szCs w:val="20"/>
        </w:rPr>
        <w:t> of all Non-Banking Financial Companies under SBR framework, except those categorised under ‘Base Layer’</w:t>
      </w:r>
      <w:hyperlink r:id="rId99" w:anchor="F3" w:history="1">
        <w:r w:rsidRPr="00470480">
          <w:rPr>
            <w:rStyle w:val="Hyperlink"/>
            <w:rFonts w:ascii="Arial" w:hAnsi="Arial" w:cs="Arial"/>
            <w:sz w:val="20"/>
            <w:szCs w:val="20"/>
            <w:vertAlign w:val="superscript"/>
          </w:rPr>
          <w:t>3</w:t>
        </w:r>
      </w:hyperlink>
      <w:r w:rsidRPr="00470480">
        <w:rPr>
          <w:rFonts w:ascii="Arial" w:hAnsi="Arial" w:cs="Arial"/>
          <w:color w:val="000000"/>
          <w:sz w:val="20"/>
          <w:szCs w:val="20"/>
        </w:rPr>
        <w:t> and Government owned NBFCs.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4. These guidelines shall come into effect from April 01, 2023.</w:t>
      </w:r>
    </w:p>
    <w:p w:rsidR="00DC2321" w:rsidRPr="00470480" w:rsidRDefault="00DC2321" w:rsidP="00DC2321">
      <w:pPr>
        <w:pStyle w:val="head"/>
        <w:jc w:val="both"/>
        <w:rPr>
          <w:rFonts w:ascii="Arial" w:hAnsi="Arial" w:cs="Arial"/>
          <w:b/>
          <w:bCs/>
          <w:color w:val="000000"/>
          <w:sz w:val="20"/>
          <w:szCs w:val="20"/>
        </w:rPr>
      </w:pPr>
      <w:r w:rsidRPr="00470480">
        <w:rPr>
          <w:rFonts w:ascii="Arial" w:hAnsi="Arial" w:cs="Arial"/>
          <w:b/>
          <w:bCs/>
          <w:color w:val="000000"/>
          <w:sz w:val="20"/>
          <w:szCs w:val="20"/>
        </w:rPr>
        <w:t>Yours faithfully</w:t>
      </w:r>
    </w:p>
    <w:p w:rsidR="00DC2321" w:rsidRPr="00470480" w:rsidRDefault="00DC2321" w:rsidP="00DC2321">
      <w:pPr>
        <w:pStyle w:val="head"/>
        <w:rPr>
          <w:rFonts w:ascii="Arial" w:hAnsi="Arial" w:cs="Arial"/>
          <w:b/>
          <w:bCs/>
          <w:color w:val="000000"/>
          <w:sz w:val="20"/>
          <w:szCs w:val="20"/>
        </w:rPr>
      </w:pPr>
      <w:r w:rsidRPr="00470480">
        <w:rPr>
          <w:rFonts w:ascii="Arial" w:hAnsi="Arial" w:cs="Arial"/>
          <w:b/>
          <w:bCs/>
          <w:color w:val="000000"/>
          <w:sz w:val="20"/>
          <w:szCs w:val="20"/>
        </w:rPr>
        <w:t>(</w:t>
      </w:r>
      <w:proofErr w:type="spellStart"/>
      <w:r w:rsidRPr="00470480">
        <w:rPr>
          <w:rFonts w:ascii="Arial" w:hAnsi="Arial" w:cs="Arial"/>
          <w:b/>
          <w:bCs/>
          <w:color w:val="000000"/>
          <w:sz w:val="20"/>
          <w:szCs w:val="20"/>
        </w:rPr>
        <w:t>Scenta</w:t>
      </w:r>
      <w:proofErr w:type="spellEnd"/>
      <w:r w:rsidRPr="00470480">
        <w:rPr>
          <w:rFonts w:ascii="Arial" w:hAnsi="Arial" w:cs="Arial"/>
          <w:b/>
          <w:bCs/>
          <w:color w:val="000000"/>
          <w:sz w:val="20"/>
          <w:szCs w:val="20"/>
        </w:rPr>
        <w:t xml:space="preserve"> Joy)</w:t>
      </w:r>
      <w:r w:rsidRPr="00470480">
        <w:rPr>
          <w:rFonts w:ascii="Arial" w:hAnsi="Arial" w:cs="Arial"/>
          <w:b/>
          <w:bCs/>
          <w:color w:val="000000"/>
          <w:sz w:val="20"/>
          <w:szCs w:val="20"/>
        </w:rPr>
        <w:br/>
        <w:t>Chief General Manager</w:t>
      </w:r>
    </w:p>
    <w:p w:rsidR="00DC2321" w:rsidRPr="00470480" w:rsidRDefault="00DC2321" w:rsidP="00DC2321">
      <w:pPr>
        <w:pStyle w:val="head"/>
        <w:rPr>
          <w:rFonts w:ascii="Arial" w:hAnsi="Arial" w:cs="Arial"/>
          <w:b/>
          <w:bCs/>
          <w:color w:val="000000"/>
          <w:sz w:val="20"/>
          <w:szCs w:val="20"/>
        </w:rPr>
      </w:pPr>
    </w:p>
    <w:p w:rsidR="00DC2321" w:rsidRPr="00470480" w:rsidRDefault="00DC2321" w:rsidP="00DC2321">
      <w:pPr>
        <w:pStyle w:val="head"/>
        <w:rPr>
          <w:rFonts w:ascii="Arial" w:hAnsi="Arial" w:cs="Arial"/>
          <w:bCs/>
          <w:color w:val="000000"/>
          <w:sz w:val="20"/>
          <w:szCs w:val="20"/>
        </w:rPr>
      </w:pPr>
      <w:r w:rsidRPr="00470480">
        <w:rPr>
          <w:rFonts w:ascii="Arial" w:hAnsi="Arial" w:cs="Arial"/>
          <w:bCs/>
          <w:color w:val="000000"/>
          <w:sz w:val="20"/>
          <w:szCs w:val="20"/>
        </w:rPr>
        <w:t xml:space="preserve">Reference Link: </w:t>
      </w:r>
      <w:hyperlink r:id="rId100" w:history="1">
        <w:r w:rsidRPr="00470480">
          <w:rPr>
            <w:rStyle w:val="Hyperlink"/>
            <w:rFonts w:ascii="Arial" w:hAnsi="Arial" w:cs="Arial"/>
            <w:bCs/>
            <w:sz w:val="20"/>
            <w:szCs w:val="20"/>
          </w:rPr>
          <w:t>https://www.rbi.org.in/Scripts/NotificationUser.aspx?Id=12303&amp;Mode=0</w:t>
        </w:r>
      </w:hyperlink>
    </w:p>
    <w:p w:rsidR="00DC2321" w:rsidRPr="00470480" w:rsidRDefault="00DC2321" w:rsidP="00DC2321">
      <w:pPr>
        <w:pStyle w:val="head"/>
        <w:rPr>
          <w:rFonts w:ascii="Arial" w:hAnsi="Arial" w:cs="Arial"/>
          <w:bCs/>
          <w:color w:val="000000"/>
          <w:sz w:val="20"/>
          <w:szCs w:val="20"/>
        </w:rPr>
      </w:pPr>
    </w:p>
    <w:p w:rsidR="00DC2321" w:rsidRPr="00470480" w:rsidRDefault="00DC2321" w:rsidP="00DC2321">
      <w:pPr>
        <w:pStyle w:val="head"/>
        <w:rPr>
          <w:rFonts w:ascii="Arial" w:hAnsi="Arial" w:cs="Arial"/>
          <w:bCs/>
          <w:color w:val="000000"/>
          <w:sz w:val="20"/>
          <w:szCs w:val="20"/>
        </w:rPr>
      </w:pPr>
    </w:p>
    <w:p w:rsidR="00DC2321" w:rsidRPr="00470480" w:rsidRDefault="00DC2321" w:rsidP="00DC2321">
      <w:pPr>
        <w:pStyle w:val="head"/>
        <w:rPr>
          <w:rFonts w:ascii="Arial" w:hAnsi="Arial" w:cs="Arial"/>
          <w:bCs/>
          <w:color w:val="000000"/>
          <w:sz w:val="20"/>
          <w:szCs w:val="20"/>
        </w:rPr>
      </w:pPr>
    </w:p>
    <w:p w:rsidR="00DC2321" w:rsidRPr="00470480" w:rsidRDefault="00DC2321" w:rsidP="00DC2321">
      <w:pPr>
        <w:pStyle w:val="head"/>
        <w:rPr>
          <w:rFonts w:ascii="Arial" w:hAnsi="Arial" w:cs="Arial"/>
          <w:bCs/>
          <w:color w:val="000000"/>
          <w:sz w:val="20"/>
          <w:szCs w:val="20"/>
        </w:rPr>
      </w:pPr>
    </w:p>
    <w:p w:rsidR="00DC2321" w:rsidRPr="00470480" w:rsidRDefault="00DC2321" w:rsidP="00DC2321">
      <w:pPr>
        <w:pStyle w:val="head"/>
        <w:rPr>
          <w:rFonts w:ascii="Arial" w:hAnsi="Arial" w:cs="Arial"/>
          <w:bCs/>
          <w:color w:val="000000"/>
          <w:sz w:val="20"/>
          <w:szCs w:val="20"/>
        </w:rPr>
      </w:pPr>
    </w:p>
    <w:p w:rsidR="00DC2321" w:rsidRPr="00470480" w:rsidRDefault="00DC2321" w:rsidP="00DC2321">
      <w:pPr>
        <w:pStyle w:val="head"/>
        <w:rPr>
          <w:rFonts w:ascii="Arial" w:hAnsi="Arial" w:cs="Arial"/>
          <w:bCs/>
          <w:color w:val="000000"/>
          <w:sz w:val="20"/>
          <w:szCs w:val="20"/>
        </w:rPr>
      </w:pPr>
      <w:r w:rsidRPr="00470480">
        <w:rPr>
          <w:rFonts w:ascii="Arial" w:hAnsi="Arial" w:cs="Arial"/>
          <w:b/>
          <w:bCs/>
          <w:color w:val="000000"/>
          <w:sz w:val="20"/>
          <w:szCs w:val="20"/>
        </w:rPr>
        <w:lastRenderedPageBreak/>
        <w:t xml:space="preserve">Modified Interest Subvention Scheme for Short Term Loans for Agriculture and Allied Activities availed through </w:t>
      </w:r>
      <w:proofErr w:type="spellStart"/>
      <w:r w:rsidRPr="00470480">
        <w:rPr>
          <w:rFonts w:ascii="Arial" w:hAnsi="Arial" w:cs="Arial"/>
          <w:b/>
          <w:bCs/>
          <w:color w:val="000000"/>
          <w:sz w:val="20"/>
          <w:szCs w:val="20"/>
        </w:rPr>
        <w:t>Kisan</w:t>
      </w:r>
      <w:proofErr w:type="spellEnd"/>
      <w:r w:rsidRPr="00470480">
        <w:rPr>
          <w:rFonts w:ascii="Arial" w:hAnsi="Arial" w:cs="Arial"/>
          <w:b/>
          <w:bCs/>
          <w:color w:val="000000"/>
          <w:sz w:val="20"/>
          <w:szCs w:val="20"/>
        </w:rPr>
        <w:t xml:space="preserve"> Credit Card (KCC) during the financial year 2021-22</w:t>
      </w:r>
    </w:p>
    <w:p w:rsidR="00DC2321" w:rsidRPr="00470480" w:rsidRDefault="00DC2321" w:rsidP="00DC2321">
      <w:pPr>
        <w:pStyle w:val="head"/>
        <w:rPr>
          <w:rFonts w:ascii="Arial" w:hAnsi="Arial" w:cs="Arial"/>
          <w:bCs/>
          <w:color w:val="000000"/>
          <w:sz w:val="20"/>
          <w:szCs w:val="20"/>
        </w:rPr>
      </w:pP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RBI/2022-23/35</w:t>
      </w:r>
      <w:r w:rsidRPr="00470480">
        <w:rPr>
          <w:rFonts w:ascii="Arial" w:hAnsi="Arial" w:cs="Arial"/>
          <w:color w:val="000000"/>
          <w:sz w:val="20"/>
          <w:szCs w:val="20"/>
        </w:rPr>
        <w:br/>
        <w:t>FIDD.CO.FSD.BC.No.3/05.02.001/2022-23</w:t>
      </w:r>
    </w:p>
    <w:p w:rsidR="00DC2321" w:rsidRPr="00470480" w:rsidRDefault="00DC2321" w:rsidP="00DC2321">
      <w:pPr>
        <w:pStyle w:val="NormalWeb"/>
        <w:jc w:val="right"/>
        <w:rPr>
          <w:rFonts w:ascii="Arial" w:hAnsi="Arial" w:cs="Arial"/>
          <w:color w:val="000000"/>
          <w:sz w:val="20"/>
          <w:szCs w:val="20"/>
        </w:rPr>
      </w:pPr>
      <w:r w:rsidRPr="00470480">
        <w:rPr>
          <w:rFonts w:ascii="Arial" w:hAnsi="Arial" w:cs="Arial"/>
          <w:color w:val="000000"/>
          <w:sz w:val="20"/>
          <w:szCs w:val="20"/>
        </w:rPr>
        <w:t>April 28, 2022</w:t>
      </w:r>
    </w:p>
    <w:p w:rsidR="00DC2321" w:rsidRPr="00470480" w:rsidRDefault="00DC2321" w:rsidP="00DC2321">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All Public Sector Banks, Private Sector Banks and</w:t>
      </w:r>
      <w:r w:rsidRPr="00470480">
        <w:rPr>
          <w:rFonts w:ascii="Arial" w:hAnsi="Arial" w:cs="Arial"/>
          <w:color w:val="000000"/>
          <w:sz w:val="20"/>
          <w:szCs w:val="20"/>
        </w:rPr>
        <w:br/>
        <w:t>Small Finance Banks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DC2321" w:rsidRPr="00470480" w:rsidRDefault="00DC2321" w:rsidP="00DC2321">
      <w:pPr>
        <w:pStyle w:val="head"/>
        <w:jc w:val="both"/>
        <w:rPr>
          <w:rFonts w:ascii="Arial" w:hAnsi="Arial" w:cs="Arial"/>
          <w:b/>
          <w:bCs/>
          <w:color w:val="000000"/>
          <w:sz w:val="20"/>
          <w:szCs w:val="20"/>
        </w:rPr>
      </w:pPr>
      <w:r w:rsidRPr="00470480">
        <w:rPr>
          <w:rFonts w:ascii="Arial" w:hAnsi="Arial" w:cs="Arial"/>
          <w:b/>
          <w:bCs/>
          <w:color w:val="000000"/>
          <w:sz w:val="20"/>
          <w:szCs w:val="20"/>
        </w:rPr>
        <w:t xml:space="preserve">Modified Interest Subvention Scheme for Short Term Loans for Agriculture and Allied Activities availed through </w:t>
      </w:r>
      <w:proofErr w:type="spellStart"/>
      <w:r w:rsidRPr="00470480">
        <w:rPr>
          <w:rFonts w:ascii="Arial" w:hAnsi="Arial" w:cs="Arial"/>
          <w:b/>
          <w:bCs/>
          <w:color w:val="000000"/>
          <w:sz w:val="20"/>
          <w:szCs w:val="20"/>
        </w:rPr>
        <w:t>Kisan</w:t>
      </w:r>
      <w:proofErr w:type="spellEnd"/>
      <w:r w:rsidRPr="00470480">
        <w:rPr>
          <w:rFonts w:ascii="Arial" w:hAnsi="Arial" w:cs="Arial"/>
          <w:b/>
          <w:bCs/>
          <w:color w:val="000000"/>
          <w:sz w:val="20"/>
          <w:szCs w:val="20"/>
        </w:rPr>
        <w:t xml:space="preserve"> Credit Card (KCC) during the financial year 2021-22</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 xml:space="preserve">Please refer to our letter </w:t>
      </w:r>
      <w:proofErr w:type="gramStart"/>
      <w:r w:rsidRPr="00470480">
        <w:rPr>
          <w:rFonts w:ascii="Arial" w:hAnsi="Arial" w:cs="Arial"/>
          <w:color w:val="000000"/>
          <w:sz w:val="20"/>
          <w:szCs w:val="20"/>
        </w:rPr>
        <w:t>FIDD.CO.FSD.No.</w:t>
      </w:r>
      <w:proofErr w:type="gramEnd"/>
      <w:r w:rsidRPr="00470480">
        <w:rPr>
          <w:rFonts w:ascii="Arial" w:hAnsi="Arial" w:cs="Arial"/>
          <w:color w:val="000000"/>
          <w:sz w:val="20"/>
          <w:szCs w:val="20"/>
        </w:rPr>
        <w:t>342/05.02.001/2020-21 dated October 16, 2020 conveying the decision of the Government of India for continuation of the Interest Subvention Scheme (modified) for short term loans for agriculture and allied activities for the year 2020-21 on interim basis.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2. In this regard, it is advised that Government of India has approved the continuation of the Interest Subvention Scheme (ISS) with modifications for the financial year 2021-22 with the following stipulations:</w:t>
      </w:r>
    </w:p>
    <w:p w:rsidR="00DC2321" w:rsidRPr="00470480" w:rsidRDefault="00DC2321" w:rsidP="00421545">
      <w:pPr>
        <w:numPr>
          <w:ilvl w:val="0"/>
          <w:numId w:val="19"/>
        </w:numPr>
        <w:spacing w:before="100" w:beforeAutospacing="1" w:after="100" w:afterAutospacing="1" w:line="240" w:lineRule="auto"/>
        <w:ind w:left="0"/>
        <w:jc w:val="both"/>
        <w:rPr>
          <w:rFonts w:ascii="Arial" w:hAnsi="Arial" w:cs="Arial"/>
          <w:color w:val="000000"/>
          <w:sz w:val="20"/>
          <w:szCs w:val="20"/>
        </w:rPr>
      </w:pPr>
      <w:r w:rsidRPr="00470480">
        <w:rPr>
          <w:rFonts w:ascii="Arial" w:hAnsi="Arial" w:cs="Arial"/>
          <w:color w:val="000000"/>
          <w:sz w:val="20"/>
          <w:szCs w:val="20"/>
        </w:rPr>
        <w:t xml:space="preserve">In order to provide short term crop loans and short term loans for allied activities including animal husbandry, dairy, fisheries, bee keeping etc.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an overall limit of ₹3 lakh to farmers through KCC at concessional interest rate during the year 2021-22, it has been decided to provide interest subvention of 2% per annum to lending institutions viz. Public Sector Banks (PSBs) and Private Sector Banks (in respect of loans given by their rural and semi-urban branches only), Small Finance Banks (SFBs) and computerized Primary Agriculture Cooperative Societies (PACS) which have been ceded with Scheduled Commercial Banks (SCBs), on use of their own resources. This interest subvention of 2% per annum will be calculated on the loan amount from the date of disbursement/</w:t>
      </w:r>
      <w:proofErr w:type="spellStart"/>
      <w:r w:rsidRPr="00470480">
        <w:rPr>
          <w:rFonts w:ascii="Arial" w:hAnsi="Arial" w:cs="Arial"/>
          <w:color w:val="000000"/>
          <w:sz w:val="20"/>
          <w:szCs w:val="20"/>
        </w:rPr>
        <w:t>drawal</w:t>
      </w:r>
      <w:proofErr w:type="spellEnd"/>
      <w:r w:rsidRPr="00470480">
        <w:rPr>
          <w:rFonts w:ascii="Arial" w:hAnsi="Arial" w:cs="Arial"/>
          <w:color w:val="000000"/>
          <w:sz w:val="20"/>
          <w:szCs w:val="20"/>
        </w:rPr>
        <w:t xml:space="preserve"> up to the date of actual repayment of the loan by the farmer or up to the due date of the loan fixed by the banks, whichever is earlier, subject to a maximum period of one year. The applicable lending rate to farmers and the rate of interest subvention for the financial year 2021-22 will be as follows:</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594"/>
        <w:gridCol w:w="2307"/>
        <w:gridCol w:w="2307"/>
      </w:tblGrid>
      <w:tr w:rsidR="00DC2321" w:rsidRPr="00470480" w:rsidTr="00DC2321">
        <w:trPr>
          <w:jc w:val="center"/>
        </w:trPr>
        <w:tc>
          <w:tcPr>
            <w:tcW w:w="1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C2321" w:rsidRPr="00470480" w:rsidRDefault="00DC2321">
            <w:pPr>
              <w:spacing w:after="0"/>
              <w:jc w:val="center"/>
              <w:rPr>
                <w:rFonts w:ascii="Arial" w:hAnsi="Arial" w:cs="Arial"/>
                <w:b/>
                <w:bCs/>
                <w:color w:val="000000"/>
                <w:sz w:val="20"/>
                <w:szCs w:val="20"/>
              </w:rPr>
            </w:pPr>
            <w:r w:rsidRPr="00470480">
              <w:rPr>
                <w:rFonts w:ascii="Arial" w:hAnsi="Arial" w:cs="Arial"/>
                <w:b/>
                <w:bCs/>
                <w:color w:val="000000"/>
                <w:sz w:val="20"/>
                <w:szCs w:val="20"/>
              </w:rPr>
              <w:t>Financial Year</w:t>
            </w:r>
          </w:p>
        </w:tc>
        <w:tc>
          <w:tcPr>
            <w:tcW w:w="1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C2321" w:rsidRPr="00470480" w:rsidRDefault="00DC2321">
            <w:pPr>
              <w:jc w:val="center"/>
              <w:rPr>
                <w:rFonts w:ascii="Arial" w:hAnsi="Arial" w:cs="Arial"/>
                <w:b/>
                <w:bCs/>
                <w:color w:val="000000"/>
                <w:sz w:val="20"/>
                <w:szCs w:val="20"/>
              </w:rPr>
            </w:pPr>
            <w:r w:rsidRPr="00470480">
              <w:rPr>
                <w:rFonts w:ascii="Arial" w:hAnsi="Arial" w:cs="Arial"/>
                <w:b/>
                <w:bCs/>
                <w:color w:val="000000"/>
                <w:sz w:val="20"/>
                <w:szCs w:val="20"/>
              </w:rPr>
              <w:t>Lending rate to farmers</w:t>
            </w:r>
          </w:p>
        </w:tc>
        <w:tc>
          <w:tcPr>
            <w:tcW w:w="1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C2321" w:rsidRPr="00470480" w:rsidRDefault="00DC2321">
            <w:pPr>
              <w:jc w:val="center"/>
              <w:rPr>
                <w:rFonts w:ascii="Arial" w:hAnsi="Arial" w:cs="Arial"/>
                <w:b/>
                <w:bCs/>
                <w:color w:val="000000"/>
                <w:sz w:val="20"/>
                <w:szCs w:val="20"/>
              </w:rPr>
            </w:pPr>
            <w:r w:rsidRPr="00470480">
              <w:rPr>
                <w:rFonts w:ascii="Arial" w:hAnsi="Arial" w:cs="Arial"/>
                <w:b/>
                <w:bCs/>
                <w:color w:val="000000"/>
                <w:sz w:val="20"/>
                <w:szCs w:val="20"/>
              </w:rPr>
              <w:t>Rate for Interest Subvention</w:t>
            </w:r>
          </w:p>
        </w:tc>
      </w:tr>
      <w:tr w:rsidR="00DC2321" w:rsidRPr="00470480" w:rsidTr="00DC232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C2321" w:rsidRPr="00470480" w:rsidRDefault="00DC2321">
            <w:pPr>
              <w:jc w:val="center"/>
              <w:rPr>
                <w:rFonts w:ascii="Arial" w:hAnsi="Arial" w:cs="Arial"/>
                <w:color w:val="000000"/>
                <w:sz w:val="20"/>
                <w:szCs w:val="20"/>
              </w:rPr>
            </w:pPr>
            <w:r w:rsidRPr="00470480">
              <w:rPr>
                <w:rFonts w:ascii="Arial" w:hAnsi="Arial" w:cs="Arial"/>
                <w:color w:val="000000"/>
                <w:sz w:val="20"/>
                <w:szCs w:val="20"/>
              </w:rPr>
              <w:t>2021-22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C2321" w:rsidRPr="00470480" w:rsidRDefault="00DC2321">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C2321" w:rsidRPr="00470480" w:rsidRDefault="00DC2321">
            <w:pPr>
              <w:jc w:val="center"/>
              <w:rPr>
                <w:rFonts w:ascii="Arial" w:hAnsi="Arial" w:cs="Arial"/>
                <w:color w:val="000000"/>
                <w:sz w:val="20"/>
                <w:szCs w:val="20"/>
              </w:rPr>
            </w:pPr>
            <w:r w:rsidRPr="00470480">
              <w:rPr>
                <w:rFonts w:ascii="Arial" w:hAnsi="Arial" w:cs="Arial"/>
                <w:color w:val="000000"/>
                <w:sz w:val="20"/>
                <w:szCs w:val="20"/>
              </w:rPr>
              <w:t>2%</w:t>
            </w:r>
          </w:p>
        </w:tc>
      </w:tr>
    </w:tbl>
    <w:p w:rsidR="005F6218" w:rsidRDefault="005F6218" w:rsidP="005B3A67">
      <w:pPr>
        <w:spacing w:before="100" w:beforeAutospacing="1" w:after="100" w:afterAutospacing="1" w:line="240" w:lineRule="auto"/>
        <w:rPr>
          <w:rFonts w:ascii="Arial" w:eastAsia="Times New Roman" w:hAnsi="Arial" w:cs="Arial"/>
          <w:color w:val="000000"/>
          <w:sz w:val="20"/>
          <w:szCs w:val="20"/>
          <w:lang w:eastAsia="en-IN"/>
        </w:rPr>
      </w:pPr>
    </w:p>
    <w:p w:rsidR="005F6218" w:rsidRDefault="005F6218" w:rsidP="005B3A67">
      <w:pPr>
        <w:spacing w:before="100" w:beforeAutospacing="1" w:after="100" w:afterAutospacing="1" w:line="240" w:lineRule="auto"/>
        <w:rPr>
          <w:rFonts w:ascii="Arial" w:eastAsia="Times New Roman" w:hAnsi="Arial" w:cs="Arial"/>
          <w:color w:val="000000"/>
          <w:sz w:val="20"/>
          <w:szCs w:val="20"/>
          <w:lang w:eastAsia="en-IN"/>
        </w:rPr>
      </w:pPr>
    </w:p>
    <w:p w:rsidR="005F6218" w:rsidRDefault="005F6218" w:rsidP="005B3A67">
      <w:pPr>
        <w:spacing w:before="100" w:beforeAutospacing="1" w:after="100" w:afterAutospacing="1"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For more details, kindly refer to the link below.</w:t>
      </w:r>
    </w:p>
    <w:p w:rsidR="00DC2321" w:rsidRPr="00470480" w:rsidRDefault="00DC2321" w:rsidP="005B3A67">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Reference Link: </w:t>
      </w:r>
      <w:hyperlink r:id="rId101" w:history="1">
        <w:r w:rsidRPr="00470480">
          <w:rPr>
            <w:rStyle w:val="Hyperlink"/>
            <w:rFonts w:ascii="Arial" w:eastAsia="Times New Roman" w:hAnsi="Arial" w:cs="Arial"/>
            <w:sz w:val="20"/>
            <w:szCs w:val="20"/>
            <w:lang w:eastAsia="en-IN"/>
          </w:rPr>
          <w:t>https://www.rbi.org.in/Scripts/NotificationUser.aspx?Id=12302&amp;Mode=0</w:t>
        </w:r>
      </w:hyperlink>
    </w:p>
    <w:p w:rsidR="00DC2321" w:rsidRPr="00470480" w:rsidRDefault="00DC2321" w:rsidP="005B3A67">
      <w:pPr>
        <w:spacing w:before="100" w:beforeAutospacing="1" w:after="100" w:afterAutospacing="1" w:line="240" w:lineRule="auto"/>
        <w:rPr>
          <w:rFonts w:ascii="Arial" w:eastAsia="Times New Roman" w:hAnsi="Arial" w:cs="Arial"/>
          <w:color w:val="000000"/>
          <w:sz w:val="20"/>
          <w:szCs w:val="20"/>
          <w:lang w:eastAsia="en-IN"/>
        </w:rPr>
      </w:pPr>
    </w:p>
    <w:p w:rsidR="005F6218" w:rsidRDefault="005F6218" w:rsidP="005B3A67">
      <w:pPr>
        <w:spacing w:before="100" w:beforeAutospacing="1" w:after="100" w:afterAutospacing="1" w:line="240" w:lineRule="auto"/>
        <w:rPr>
          <w:rFonts w:ascii="Arial" w:hAnsi="Arial" w:cs="Arial"/>
          <w:b/>
          <w:bCs/>
          <w:color w:val="000000"/>
          <w:sz w:val="20"/>
          <w:szCs w:val="20"/>
        </w:rPr>
      </w:pPr>
    </w:p>
    <w:p w:rsidR="005B3A67" w:rsidRPr="00470480" w:rsidRDefault="00DC2321" w:rsidP="005B3A67">
      <w:pPr>
        <w:spacing w:before="100" w:beforeAutospacing="1" w:after="100" w:afterAutospacing="1" w:line="240" w:lineRule="auto"/>
        <w:rPr>
          <w:rFonts w:ascii="Arial" w:hAnsi="Arial" w:cs="Arial"/>
          <w:b/>
          <w:bCs/>
          <w:color w:val="000000"/>
          <w:sz w:val="20"/>
          <w:szCs w:val="20"/>
        </w:rPr>
      </w:pPr>
      <w:r w:rsidRPr="00470480">
        <w:rPr>
          <w:rFonts w:ascii="Arial" w:hAnsi="Arial" w:cs="Arial"/>
          <w:b/>
          <w:bCs/>
          <w:color w:val="000000"/>
          <w:sz w:val="20"/>
          <w:szCs w:val="20"/>
        </w:rPr>
        <w:lastRenderedPageBreak/>
        <w:t>Legal Entity Identifier (LEI) for Borrowers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RBI/2022-23/34</w:t>
      </w:r>
      <w:r w:rsidRPr="00470480">
        <w:rPr>
          <w:rFonts w:ascii="Arial" w:hAnsi="Arial" w:cs="Arial"/>
          <w:color w:val="000000"/>
          <w:sz w:val="20"/>
          <w:szCs w:val="20"/>
        </w:rPr>
        <w:br/>
        <w:t>DOR.CRE.REC.28/21.04.048/2022-23</w:t>
      </w:r>
    </w:p>
    <w:p w:rsidR="00DC2321" w:rsidRPr="00470480" w:rsidRDefault="00DC2321" w:rsidP="00DC2321">
      <w:pPr>
        <w:pStyle w:val="NormalWeb"/>
        <w:jc w:val="right"/>
        <w:rPr>
          <w:rFonts w:ascii="Arial" w:hAnsi="Arial" w:cs="Arial"/>
          <w:color w:val="000000"/>
          <w:sz w:val="20"/>
          <w:szCs w:val="20"/>
        </w:rPr>
      </w:pPr>
      <w:r w:rsidRPr="00470480">
        <w:rPr>
          <w:rFonts w:ascii="Arial" w:hAnsi="Arial" w:cs="Arial"/>
          <w:color w:val="000000"/>
          <w:sz w:val="20"/>
          <w:szCs w:val="20"/>
        </w:rPr>
        <w:t>April 21, 2022</w:t>
      </w:r>
    </w:p>
    <w:p w:rsidR="00DC2321" w:rsidRPr="00470480" w:rsidRDefault="00DC2321" w:rsidP="00DC2321">
      <w:pPr>
        <w:pStyle w:val="NormalWeb"/>
        <w:rPr>
          <w:rFonts w:ascii="Arial" w:hAnsi="Arial" w:cs="Arial"/>
          <w:color w:val="000000"/>
          <w:sz w:val="20"/>
          <w:szCs w:val="20"/>
        </w:rPr>
      </w:pPr>
      <w:r w:rsidRPr="00470480">
        <w:rPr>
          <w:rFonts w:ascii="Arial" w:hAnsi="Arial" w:cs="Arial"/>
          <w:color w:val="000000"/>
          <w:sz w:val="20"/>
          <w:szCs w:val="20"/>
        </w:rPr>
        <w:t>All Scheduled Commercial Banks (Excluding Regional Rural Banks),</w:t>
      </w:r>
      <w:r w:rsidRPr="00470480">
        <w:rPr>
          <w:rFonts w:ascii="Arial" w:hAnsi="Arial" w:cs="Arial"/>
          <w:color w:val="000000"/>
          <w:sz w:val="20"/>
          <w:szCs w:val="20"/>
        </w:rPr>
        <w:br/>
        <w:t>All India Financial Institutions,</w:t>
      </w:r>
      <w:r w:rsidRPr="00470480">
        <w:rPr>
          <w:rFonts w:ascii="Arial" w:hAnsi="Arial" w:cs="Arial"/>
          <w:color w:val="000000"/>
          <w:sz w:val="20"/>
          <w:szCs w:val="20"/>
        </w:rPr>
        <w:br/>
        <w:t>Small Finance Banks, Local Area Banks,</w:t>
      </w:r>
      <w:r w:rsidRPr="00470480">
        <w:rPr>
          <w:rFonts w:ascii="Arial" w:hAnsi="Arial" w:cs="Arial"/>
          <w:color w:val="000000"/>
          <w:sz w:val="20"/>
          <w:szCs w:val="20"/>
        </w:rPr>
        <w:br/>
        <w:t>Primary (Urban) Co-operative Banks, and</w:t>
      </w:r>
      <w:r w:rsidRPr="00470480">
        <w:rPr>
          <w:rFonts w:ascii="Arial" w:hAnsi="Arial" w:cs="Arial"/>
          <w:color w:val="000000"/>
          <w:sz w:val="20"/>
          <w:szCs w:val="20"/>
        </w:rPr>
        <w:br/>
        <w:t>Non-Banking Financial Companies (including Housing Finance Companies)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DC2321" w:rsidRPr="00470480" w:rsidRDefault="00DC2321" w:rsidP="00DC2321">
      <w:pPr>
        <w:pStyle w:val="head"/>
        <w:jc w:val="both"/>
        <w:rPr>
          <w:rFonts w:ascii="Arial" w:hAnsi="Arial" w:cs="Arial"/>
          <w:b/>
          <w:bCs/>
          <w:color w:val="000000"/>
          <w:sz w:val="20"/>
          <w:szCs w:val="20"/>
        </w:rPr>
      </w:pPr>
      <w:r w:rsidRPr="00470480">
        <w:rPr>
          <w:rFonts w:ascii="Arial" w:hAnsi="Arial" w:cs="Arial"/>
          <w:b/>
          <w:bCs/>
          <w:color w:val="000000"/>
          <w:sz w:val="20"/>
          <w:szCs w:val="20"/>
        </w:rPr>
        <w:t>Legal Entity Identifier (LEI) for Borrowers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Please refer to Para 3 of </w:t>
      </w:r>
      <w:hyperlink r:id="rId102" w:tgtFrame="_blank" w:history="1">
        <w:r w:rsidRPr="00470480">
          <w:rPr>
            <w:rStyle w:val="Hyperlink"/>
            <w:rFonts w:ascii="Arial" w:hAnsi="Arial" w:cs="Arial"/>
            <w:sz w:val="20"/>
            <w:szCs w:val="20"/>
          </w:rPr>
          <w:t>DBR.No.BP.BC.92/21.04.048/2017-18 dated November 2, 2017</w:t>
        </w:r>
      </w:hyperlink>
      <w:r w:rsidRPr="00470480">
        <w:rPr>
          <w:rFonts w:ascii="Arial" w:hAnsi="Arial" w:cs="Arial"/>
          <w:color w:val="000000"/>
          <w:sz w:val="20"/>
          <w:szCs w:val="20"/>
        </w:rPr>
        <w:t>, on the captioned subject.</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2. On a review, it has been decided that the guidelines on LEI stand extended to Primary (Urban) Co-operative Banks (UCBs) and Non-Banking Financial Companies (NBFCs). It is further advised that non-individual borrowers enjoying aggregate exposure of ₹5 crore and above from banks</w:t>
      </w:r>
      <w:hyperlink r:id="rId103"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and financial institutions (FIs)</w:t>
      </w:r>
      <w:hyperlink r:id="rId104" w:anchor="F2" w:history="1">
        <w:r w:rsidRPr="00470480">
          <w:rPr>
            <w:rStyle w:val="Hyperlink"/>
            <w:rFonts w:ascii="Arial" w:hAnsi="Arial" w:cs="Arial"/>
            <w:sz w:val="20"/>
            <w:szCs w:val="20"/>
            <w:vertAlign w:val="superscript"/>
          </w:rPr>
          <w:t>2</w:t>
        </w:r>
      </w:hyperlink>
      <w:r w:rsidRPr="00470480">
        <w:rPr>
          <w:rFonts w:ascii="Arial" w:hAnsi="Arial" w:cs="Arial"/>
          <w:color w:val="000000"/>
          <w:sz w:val="20"/>
          <w:szCs w:val="20"/>
        </w:rPr>
        <w:t> shall be required to obtain LEI codes as per the timeline given in the </w:t>
      </w:r>
      <w:hyperlink r:id="rId105" w:anchor="AN_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“Exposure” for this purpose shall include all fund based and non-fund based (credit as well as investment) exposure of banks/FIs to the borrower. Aggregate sanctioned limit or outstanding balance, whichever is higher, shall be reckoned for the purpose. Lenders may ascertain the position of aggregate exposure based on information available either with them, or CRILC database or declaration obtained from the borrower.</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c) Borrowers who fail to obtain LEI codes from an authorized Local Operating Unit (LOU) shall not be sanctioned any new exposure nor shall they be granted renewal/enhancement of any existing exposure. However, Departments/Agencies</w:t>
      </w:r>
      <w:hyperlink r:id="rId106" w:anchor="F3" w:history="1">
        <w:r w:rsidRPr="00470480">
          <w:rPr>
            <w:rStyle w:val="Hyperlink"/>
            <w:rFonts w:ascii="Arial" w:hAnsi="Arial" w:cs="Arial"/>
            <w:sz w:val="20"/>
            <w:szCs w:val="20"/>
            <w:vertAlign w:val="superscript"/>
          </w:rPr>
          <w:t>3</w:t>
        </w:r>
      </w:hyperlink>
      <w:r w:rsidRPr="00470480">
        <w:rPr>
          <w:rFonts w:ascii="Arial" w:hAnsi="Arial" w:cs="Arial"/>
          <w:color w:val="000000"/>
          <w:sz w:val="20"/>
          <w:szCs w:val="20"/>
        </w:rPr>
        <w:t> of Central and State Governments (not Public Sector Undertakings registered under Companies Act or established as Corporation under the relevant statute) shall be exempted from this provision.</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3. These directions are issued under sections 21, 35A and 56 of the Banking Regulation Act, 1949, sections 45JA and 45L of the Reserve Bank of India Act, 1934, section 30A of the National Housing Bank Act, 1987 and section 6 of the Factoring Regulation Act, 2011.</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C2321" w:rsidRPr="00470480" w:rsidRDefault="00DC2321" w:rsidP="00DC232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DC2321" w:rsidRPr="00470480" w:rsidRDefault="00DC2321" w:rsidP="005B3A67">
      <w:pPr>
        <w:spacing w:before="100" w:beforeAutospacing="1" w:after="100" w:afterAutospacing="1" w:line="240" w:lineRule="auto"/>
        <w:rPr>
          <w:rFonts w:ascii="Arial" w:eastAsia="Times New Roman" w:hAnsi="Arial" w:cs="Arial"/>
          <w:color w:val="000000"/>
          <w:sz w:val="20"/>
          <w:szCs w:val="20"/>
          <w:lang w:eastAsia="en-IN"/>
        </w:rPr>
      </w:pPr>
    </w:p>
    <w:p w:rsidR="005B3A67" w:rsidRPr="00470480" w:rsidRDefault="00DC2321" w:rsidP="005B3A67">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07" w:history="1">
        <w:r w:rsidRPr="00470480">
          <w:rPr>
            <w:rStyle w:val="Hyperlink"/>
            <w:rFonts w:ascii="Arial" w:hAnsi="Arial" w:cs="Arial"/>
            <w:sz w:val="20"/>
            <w:szCs w:val="20"/>
          </w:rPr>
          <w:t>https://www.rbi.org.in/Scripts/NotificationUser.aspx?Id=12301&amp;Mode=0</w:t>
        </w:r>
      </w:hyperlink>
    </w:p>
    <w:p w:rsidR="00DC2321" w:rsidRPr="00470480" w:rsidRDefault="00DC2321" w:rsidP="005B3A67">
      <w:pPr>
        <w:pStyle w:val="NormalWeb"/>
        <w:rPr>
          <w:rFonts w:ascii="Arial" w:hAnsi="Arial" w:cs="Arial"/>
          <w:color w:val="000000"/>
          <w:sz w:val="20"/>
          <w:szCs w:val="20"/>
        </w:rPr>
      </w:pPr>
    </w:p>
    <w:p w:rsidR="00DC2321" w:rsidRPr="00470480" w:rsidRDefault="00DC2321" w:rsidP="005B3A67">
      <w:pPr>
        <w:pStyle w:val="NormalWeb"/>
        <w:rPr>
          <w:rFonts w:ascii="Arial" w:hAnsi="Arial" w:cs="Arial"/>
          <w:color w:val="000000"/>
          <w:sz w:val="20"/>
          <w:szCs w:val="20"/>
        </w:rPr>
      </w:pPr>
    </w:p>
    <w:p w:rsidR="00DC2321" w:rsidRPr="00470480" w:rsidRDefault="00DC2321" w:rsidP="005B3A67">
      <w:pPr>
        <w:pStyle w:val="NormalWeb"/>
        <w:rPr>
          <w:rFonts w:ascii="Arial" w:hAnsi="Arial" w:cs="Arial"/>
          <w:color w:val="000000"/>
          <w:sz w:val="20"/>
          <w:szCs w:val="20"/>
        </w:rPr>
      </w:pPr>
    </w:p>
    <w:p w:rsidR="00DC2321" w:rsidRPr="00470480" w:rsidRDefault="00DC2321" w:rsidP="005B3A67">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Master Direction – Credit Card and Debit Card – Issuance and Conduct Directions, 2022</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RBI/2022-23/92</w:t>
      </w:r>
      <w:r w:rsidRPr="00470480">
        <w:rPr>
          <w:rFonts w:ascii="Arial" w:hAnsi="Arial" w:cs="Arial"/>
          <w:color w:val="000000"/>
          <w:sz w:val="20"/>
          <w:szCs w:val="20"/>
        </w:rPr>
        <w:br/>
        <w:t>DoR.AUT.REC.No.27/24.01.041/2022-23</w:t>
      </w:r>
    </w:p>
    <w:p w:rsidR="00DC2321" w:rsidRPr="00470480" w:rsidRDefault="00DC2321" w:rsidP="00DC2321">
      <w:pPr>
        <w:pStyle w:val="NormalWeb"/>
        <w:jc w:val="right"/>
        <w:rPr>
          <w:rFonts w:ascii="Arial" w:hAnsi="Arial" w:cs="Arial"/>
          <w:color w:val="000000"/>
          <w:sz w:val="20"/>
          <w:szCs w:val="20"/>
        </w:rPr>
      </w:pPr>
      <w:r w:rsidRPr="00470480">
        <w:rPr>
          <w:rFonts w:ascii="Arial" w:hAnsi="Arial" w:cs="Arial"/>
          <w:color w:val="000000"/>
          <w:sz w:val="20"/>
          <w:szCs w:val="20"/>
        </w:rPr>
        <w:t>April 21, 2022</w:t>
      </w:r>
    </w:p>
    <w:p w:rsidR="00DC2321" w:rsidRPr="00470480" w:rsidRDefault="00DC2321" w:rsidP="00DC2321">
      <w:pPr>
        <w:pStyle w:val="head"/>
        <w:jc w:val="center"/>
        <w:rPr>
          <w:rFonts w:ascii="Arial" w:hAnsi="Arial" w:cs="Arial"/>
          <w:b/>
          <w:bCs/>
          <w:color w:val="000000"/>
          <w:sz w:val="20"/>
          <w:szCs w:val="20"/>
        </w:rPr>
      </w:pPr>
      <w:r w:rsidRPr="00470480">
        <w:rPr>
          <w:rFonts w:ascii="Arial" w:hAnsi="Arial" w:cs="Arial"/>
          <w:b/>
          <w:bCs/>
          <w:color w:val="000000"/>
          <w:sz w:val="20"/>
          <w:szCs w:val="20"/>
        </w:rPr>
        <w:t>Master Direction – Credit Card and Debit Card – Issuance and Conduct Directions, 2022</w:t>
      </w:r>
    </w:p>
    <w:p w:rsidR="00DC2321"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In exercise of the powers conferred by Sections 35A and Section 56 of the Banking Regulation Act, 1949 and Chapter IIIB of the Reserve Bank of India Act, 1934, the Reserve Bank of India being satisfied that it is necessary and expedient in the public interest so to do, hereby, issues the Directions hereinafter specified.</w:t>
      </w:r>
    </w:p>
    <w:p w:rsidR="0073686B" w:rsidRPr="005373C0" w:rsidRDefault="0073686B" w:rsidP="0073686B">
      <w:r>
        <w:t>The direction details on the following:</w:t>
      </w:r>
    </w:p>
    <w:p w:rsidR="00DC2321" w:rsidRPr="00470480" w:rsidRDefault="0073686B" w:rsidP="0073686B">
      <w:pPr>
        <w:pStyle w:val="head"/>
        <w:rPr>
          <w:rFonts w:ascii="Arial" w:hAnsi="Arial" w:cs="Arial"/>
          <w:b/>
          <w:bCs/>
          <w:color w:val="000000"/>
          <w:sz w:val="20"/>
          <w:szCs w:val="20"/>
        </w:rPr>
      </w:pPr>
      <w:r>
        <w:rPr>
          <w:rFonts w:ascii="Arial" w:hAnsi="Arial" w:cs="Arial"/>
          <w:b/>
          <w:bCs/>
          <w:color w:val="000000"/>
          <w:sz w:val="20"/>
          <w:szCs w:val="20"/>
        </w:rPr>
        <w:t xml:space="preserve">CHAPTER – I: </w:t>
      </w:r>
      <w:r w:rsidR="00DC2321" w:rsidRPr="00470480">
        <w:rPr>
          <w:rFonts w:ascii="Arial" w:hAnsi="Arial" w:cs="Arial"/>
          <w:b/>
          <w:bCs/>
          <w:color w:val="000000"/>
          <w:sz w:val="20"/>
          <w:szCs w:val="20"/>
        </w:rPr>
        <w:t>PRELIMINARY</w:t>
      </w:r>
    </w:p>
    <w:p w:rsidR="00DC2321" w:rsidRPr="00470480" w:rsidRDefault="0073686B" w:rsidP="0073686B">
      <w:pPr>
        <w:pStyle w:val="head"/>
        <w:rPr>
          <w:rFonts w:ascii="Arial" w:hAnsi="Arial" w:cs="Arial"/>
          <w:b/>
          <w:bCs/>
          <w:color w:val="000000"/>
          <w:sz w:val="20"/>
          <w:szCs w:val="20"/>
        </w:rPr>
      </w:pPr>
      <w:r>
        <w:rPr>
          <w:rFonts w:ascii="Arial" w:hAnsi="Arial" w:cs="Arial"/>
          <w:b/>
          <w:bCs/>
          <w:color w:val="000000"/>
          <w:sz w:val="20"/>
          <w:szCs w:val="20"/>
        </w:rPr>
        <w:t xml:space="preserve">CHAPTER – II: </w:t>
      </w:r>
      <w:r w:rsidR="00DC2321" w:rsidRPr="00470480">
        <w:rPr>
          <w:rFonts w:ascii="Arial" w:hAnsi="Arial" w:cs="Arial"/>
          <w:b/>
          <w:bCs/>
          <w:color w:val="000000"/>
          <w:sz w:val="20"/>
          <w:szCs w:val="20"/>
        </w:rPr>
        <w:t>CONDUCT OF CREDIT CARD BUSINESS</w:t>
      </w:r>
    </w:p>
    <w:p w:rsidR="00DC2321" w:rsidRPr="00470480" w:rsidRDefault="0073686B" w:rsidP="0073686B">
      <w:pPr>
        <w:pStyle w:val="head"/>
        <w:rPr>
          <w:rFonts w:ascii="Arial" w:hAnsi="Arial" w:cs="Arial"/>
          <w:b/>
          <w:bCs/>
          <w:color w:val="000000"/>
          <w:sz w:val="20"/>
          <w:szCs w:val="20"/>
        </w:rPr>
      </w:pPr>
      <w:r>
        <w:rPr>
          <w:rFonts w:ascii="Arial" w:hAnsi="Arial" w:cs="Arial"/>
          <w:b/>
          <w:bCs/>
          <w:color w:val="000000"/>
          <w:sz w:val="20"/>
          <w:szCs w:val="20"/>
        </w:rPr>
        <w:t xml:space="preserve">CHAPTER – III: </w:t>
      </w:r>
      <w:r w:rsidR="00DC2321" w:rsidRPr="00470480">
        <w:rPr>
          <w:rFonts w:ascii="Arial" w:hAnsi="Arial" w:cs="Arial"/>
          <w:b/>
          <w:bCs/>
          <w:color w:val="000000"/>
          <w:sz w:val="20"/>
          <w:szCs w:val="20"/>
        </w:rPr>
        <w:t>ISSUE OF DEBIT CARD BY BANKS</w:t>
      </w:r>
    </w:p>
    <w:p w:rsidR="00DC2321" w:rsidRPr="00470480" w:rsidRDefault="0073686B" w:rsidP="0073686B">
      <w:pPr>
        <w:pStyle w:val="head"/>
        <w:rPr>
          <w:rFonts w:ascii="Arial" w:hAnsi="Arial" w:cs="Arial"/>
          <w:b/>
          <w:bCs/>
          <w:color w:val="000000"/>
          <w:sz w:val="20"/>
          <w:szCs w:val="20"/>
        </w:rPr>
      </w:pPr>
      <w:r>
        <w:rPr>
          <w:rFonts w:ascii="Arial" w:hAnsi="Arial" w:cs="Arial"/>
          <w:b/>
          <w:bCs/>
          <w:color w:val="000000"/>
          <w:sz w:val="20"/>
          <w:szCs w:val="20"/>
        </w:rPr>
        <w:t xml:space="preserve">CHAPTER – IV: </w:t>
      </w:r>
      <w:r w:rsidR="00DC2321" w:rsidRPr="00470480">
        <w:rPr>
          <w:rFonts w:ascii="Arial" w:hAnsi="Arial" w:cs="Arial"/>
          <w:b/>
          <w:bCs/>
          <w:color w:val="000000"/>
          <w:sz w:val="20"/>
          <w:szCs w:val="20"/>
        </w:rPr>
        <w:t>CO-BRANDING ARRANGEMENT</w:t>
      </w:r>
    </w:p>
    <w:p w:rsidR="00DC2321" w:rsidRPr="00470480" w:rsidRDefault="0073686B" w:rsidP="0073686B">
      <w:pPr>
        <w:pStyle w:val="head"/>
        <w:rPr>
          <w:rFonts w:ascii="Arial" w:hAnsi="Arial" w:cs="Arial"/>
          <w:b/>
          <w:bCs/>
          <w:color w:val="000000"/>
          <w:sz w:val="20"/>
          <w:szCs w:val="20"/>
        </w:rPr>
      </w:pPr>
      <w:r>
        <w:rPr>
          <w:rFonts w:ascii="Arial" w:hAnsi="Arial" w:cs="Arial"/>
          <w:b/>
          <w:bCs/>
          <w:color w:val="000000"/>
          <w:sz w:val="20"/>
          <w:szCs w:val="20"/>
        </w:rPr>
        <w:t xml:space="preserve">CHAPTER – V: </w:t>
      </w:r>
      <w:r w:rsidR="00DC2321" w:rsidRPr="00470480">
        <w:rPr>
          <w:rFonts w:ascii="Arial" w:hAnsi="Arial" w:cs="Arial"/>
          <w:b/>
          <w:bCs/>
          <w:color w:val="000000"/>
          <w:sz w:val="20"/>
          <w:szCs w:val="20"/>
        </w:rPr>
        <w:t>GENERAL GUIDELINES FOR CREDIT AND DEBIT CARDS</w:t>
      </w:r>
    </w:p>
    <w:p w:rsidR="00DC2321" w:rsidRPr="00470480" w:rsidRDefault="0073686B" w:rsidP="0073686B">
      <w:pPr>
        <w:pStyle w:val="head"/>
        <w:rPr>
          <w:rFonts w:ascii="Arial" w:hAnsi="Arial" w:cs="Arial"/>
          <w:b/>
          <w:bCs/>
          <w:color w:val="000000"/>
          <w:sz w:val="20"/>
          <w:szCs w:val="20"/>
        </w:rPr>
      </w:pPr>
      <w:r>
        <w:rPr>
          <w:rFonts w:ascii="Arial" w:hAnsi="Arial" w:cs="Arial"/>
          <w:b/>
          <w:bCs/>
          <w:color w:val="000000"/>
          <w:sz w:val="20"/>
          <w:szCs w:val="20"/>
        </w:rPr>
        <w:t xml:space="preserve">CHAPTER – VI: </w:t>
      </w:r>
      <w:r w:rsidR="00DC2321" w:rsidRPr="00470480">
        <w:rPr>
          <w:rFonts w:ascii="Arial" w:hAnsi="Arial" w:cs="Arial"/>
          <w:b/>
          <w:bCs/>
          <w:color w:val="000000"/>
          <w:sz w:val="20"/>
          <w:szCs w:val="20"/>
        </w:rPr>
        <w:t>MISCELLANEOUS</w:t>
      </w:r>
    </w:p>
    <w:p w:rsidR="00DC2321" w:rsidRPr="00470480" w:rsidRDefault="0073686B" w:rsidP="0073686B">
      <w:pPr>
        <w:pStyle w:val="head"/>
        <w:rPr>
          <w:rFonts w:ascii="Arial" w:hAnsi="Arial" w:cs="Arial"/>
          <w:b/>
          <w:bCs/>
          <w:color w:val="000000"/>
          <w:sz w:val="20"/>
          <w:szCs w:val="20"/>
        </w:rPr>
      </w:pPr>
      <w:r>
        <w:rPr>
          <w:rFonts w:ascii="Arial" w:hAnsi="Arial" w:cs="Arial"/>
          <w:b/>
          <w:bCs/>
          <w:color w:val="000000"/>
          <w:sz w:val="20"/>
          <w:szCs w:val="20"/>
        </w:rPr>
        <w:t xml:space="preserve">CHAPTER – VII: </w:t>
      </w:r>
      <w:r w:rsidR="00DC2321" w:rsidRPr="00470480">
        <w:rPr>
          <w:rFonts w:ascii="Arial" w:hAnsi="Arial" w:cs="Arial"/>
          <w:b/>
          <w:bCs/>
          <w:color w:val="000000"/>
          <w:sz w:val="20"/>
          <w:szCs w:val="20"/>
        </w:rPr>
        <w:t>EXEMPTIONS, INTERPRETATIONS AND REPEAL</w:t>
      </w:r>
    </w:p>
    <w:p w:rsidR="0073686B" w:rsidRDefault="0073686B" w:rsidP="005B3A67">
      <w:pPr>
        <w:pStyle w:val="NormalWeb"/>
        <w:rPr>
          <w:rFonts w:ascii="Arial" w:hAnsi="Arial" w:cs="Arial"/>
          <w:color w:val="000000"/>
          <w:sz w:val="20"/>
          <w:szCs w:val="20"/>
        </w:rPr>
      </w:pPr>
    </w:p>
    <w:p w:rsidR="0073686B" w:rsidRDefault="0073686B" w:rsidP="005B3A67">
      <w:pPr>
        <w:pStyle w:val="NormalWeb"/>
        <w:rPr>
          <w:rFonts w:ascii="Arial" w:hAnsi="Arial" w:cs="Arial"/>
          <w:color w:val="000000"/>
          <w:sz w:val="20"/>
          <w:szCs w:val="20"/>
        </w:rPr>
      </w:pPr>
      <w:r w:rsidRPr="0073686B">
        <w:rPr>
          <w:rFonts w:ascii="Arial" w:hAnsi="Arial" w:cs="Arial"/>
          <w:color w:val="000000"/>
          <w:sz w:val="20"/>
          <w:szCs w:val="20"/>
        </w:rPr>
        <w:t>Details under each of the above chapters can be read from the below link</w:t>
      </w:r>
    </w:p>
    <w:p w:rsidR="00DC2321" w:rsidRPr="00470480" w:rsidRDefault="00DC2321" w:rsidP="005B3A67">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08" w:history="1">
        <w:r w:rsidRPr="00470480">
          <w:rPr>
            <w:rStyle w:val="Hyperlink"/>
            <w:rFonts w:ascii="Arial" w:hAnsi="Arial" w:cs="Arial"/>
            <w:sz w:val="20"/>
            <w:szCs w:val="20"/>
          </w:rPr>
          <w:t>https://www.rbi.org.in/Scripts/NotificationUser.aspx?Id=12300&amp;Mode=0</w:t>
        </w:r>
      </w:hyperlink>
    </w:p>
    <w:p w:rsidR="00DC2321" w:rsidRPr="00470480" w:rsidRDefault="00DC2321" w:rsidP="005B3A67">
      <w:pPr>
        <w:pStyle w:val="NormalWeb"/>
        <w:rPr>
          <w:rFonts w:ascii="Arial" w:hAnsi="Arial" w:cs="Arial"/>
          <w:color w:val="000000"/>
          <w:sz w:val="20"/>
          <w:szCs w:val="20"/>
        </w:rPr>
      </w:pPr>
    </w:p>
    <w:p w:rsidR="00DC2321" w:rsidRPr="00470480" w:rsidRDefault="00DC2321" w:rsidP="005B3A67">
      <w:pPr>
        <w:pStyle w:val="NormalWeb"/>
        <w:rPr>
          <w:rFonts w:ascii="Arial" w:hAnsi="Arial" w:cs="Arial"/>
          <w:color w:val="000000"/>
          <w:sz w:val="20"/>
          <w:szCs w:val="20"/>
        </w:rPr>
      </w:pPr>
    </w:p>
    <w:p w:rsidR="005B3A67" w:rsidRPr="00470480" w:rsidRDefault="005B3A67"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Creation of Honorary Designations at Board level in Urban Co-operative Banks</w:t>
      </w:r>
    </w:p>
    <w:p w:rsidR="00DC2321" w:rsidRPr="00470480" w:rsidRDefault="00DC2321" w:rsidP="00BE4BD6">
      <w:pPr>
        <w:spacing w:after="0"/>
        <w:jc w:val="both"/>
        <w:rPr>
          <w:rFonts w:ascii="Arial" w:hAnsi="Arial" w:cs="Arial"/>
          <w:b/>
          <w:bCs/>
          <w:color w:val="000000"/>
          <w:sz w:val="20"/>
          <w:szCs w:val="20"/>
        </w:rPr>
      </w:pP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RBI/2022-23/33</w:t>
      </w:r>
      <w:r w:rsidRPr="00470480">
        <w:rPr>
          <w:rFonts w:ascii="Arial" w:hAnsi="Arial" w:cs="Arial"/>
          <w:color w:val="000000"/>
          <w:sz w:val="20"/>
          <w:szCs w:val="20"/>
        </w:rPr>
        <w:br/>
        <w:t>DOR.GOV.REC.No.26/18.10.004/2022-23</w:t>
      </w:r>
    </w:p>
    <w:p w:rsidR="00DC2321" w:rsidRPr="00470480" w:rsidRDefault="00DC2321" w:rsidP="00DC2321">
      <w:pPr>
        <w:pStyle w:val="NormalWeb"/>
        <w:jc w:val="right"/>
        <w:rPr>
          <w:rFonts w:ascii="Arial" w:hAnsi="Arial" w:cs="Arial"/>
          <w:color w:val="000000"/>
          <w:sz w:val="20"/>
          <w:szCs w:val="20"/>
        </w:rPr>
      </w:pPr>
      <w:r w:rsidRPr="00470480">
        <w:rPr>
          <w:rFonts w:ascii="Arial" w:hAnsi="Arial" w:cs="Arial"/>
          <w:color w:val="000000"/>
          <w:sz w:val="20"/>
          <w:szCs w:val="20"/>
        </w:rPr>
        <w:t>April 21, 2022</w:t>
      </w:r>
    </w:p>
    <w:p w:rsidR="00DC2321" w:rsidRPr="00470480" w:rsidRDefault="00DC2321" w:rsidP="00DC2321">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All Primary (Urban) Co-operative Banks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DC2321" w:rsidRPr="00470480" w:rsidRDefault="00DC2321" w:rsidP="00DC2321">
      <w:pPr>
        <w:pStyle w:val="head"/>
        <w:jc w:val="both"/>
        <w:rPr>
          <w:rFonts w:ascii="Arial" w:hAnsi="Arial" w:cs="Arial"/>
          <w:b/>
          <w:bCs/>
          <w:color w:val="000000"/>
          <w:sz w:val="20"/>
          <w:szCs w:val="20"/>
        </w:rPr>
      </w:pPr>
      <w:r w:rsidRPr="00470480">
        <w:rPr>
          <w:rFonts w:ascii="Arial" w:hAnsi="Arial" w:cs="Arial"/>
          <w:b/>
          <w:bCs/>
          <w:color w:val="000000"/>
          <w:sz w:val="20"/>
          <w:szCs w:val="20"/>
        </w:rPr>
        <w:t>Creation of Honorary Designations at Board level in Urban Co-operative Banks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It has been observed during the course of supervisory reviews that some of the Urban Co-operative Banks (UCBs) have adopted the practice of creating honorary designations (remunerated or otherwise)/conferring titles at Board level, such as Chairman Emeritus, Group Chairman, etc., which are not recognised in applicable statutes or regulations.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2. While such positions/titles may be indicative of certain privileges/rights for the incumbent to access all board materials and participate in board/committee meetings, enforcing liability or obligations on such person may be difficult. Such positions may be seen as creating conflicts of interest as well as creation of a parallel or shadow authority impeding effective and independent functioning of the legally constituted board in the best interest of all its stakeholders.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3. As such, UCBs are directed not to create any honorary positions/titles at Board level or confer such titles that are non-statutory in nature and to eliminate any such existing position/titles within one year from date of this circular.</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4. These directions are issued under Section 35A and Section 36(1)(d) of the Banking Regulation Act, 1949 (AACS).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C2321" w:rsidRPr="00470480" w:rsidRDefault="00DC2321" w:rsidP="00DC232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Shrimohan</w:t>
      </w:r>
      <w:proofErr w:type="spellEnd"/>
      <w:r w:rsidRPr="00470480">
        <w:rPr>
          <w:rFonts w:ascii="Arial" w:hAnsi="Arial" w:cs="Arial"/>
          <w:color w:val="000000"/>
          <w:sz w:val="20"/>
          <w:szCs w:val="20"/>
        </w:rPr>
        <w:t xml:space="preserve"> Yadav)</w:t>
      </w:r>
      <w:r w:rsidRPr="00470480">
        <w:rPr>
          <w:rFonts w:ascii="Arial" w:hAnsi="Arial" w:cs="Arial"/>
          <w:color w:val="000000"/>
          <w:sz w:val="20"/>
          <w:szCs w:val="20"/>
        </w:rPr>
        <w:br/>
        <w:t>Chief General Manager</w:t>
      </w:r>
    </w:p>
    <w:p w:rsidR="00AC68C8" w:rsidRDefault="00AC68C8" w:rsidP="00BE4BD6">
      <w:pPr>
        <w:spacing w:after="0"/>
        <w:jc w:val="both"/>
        <w:rPr>
          <w:rFonts w:ascii="Arial" w:hAnsi="Arial" w:cs="Arial"/>
          <w:sz w:val="20"/>
          <w:szCs w:val="20"/>
        </w:rPr>
      </w:pPr>
    </w:p>
    <w:p w:rsidR="00AC68C8" w:rsidRDefault="00AC68C8"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109" w:history="1">
        <w:r w:rsidRPr="00470480">
          <w:rPr>
            <w:rStyle w:val="Hyperlink"/>
            <w:rFonts w:ascii="Arial" w:hAnsi="Arial" w:cs="Arial"/>
            <w:sz w:val="20"/>
            <w:szCs w:val="20"/>
          </w:rPr>
          <w:t>https://www.rbi.org.in/Scripts/NotificationUser.aspx?Id=12299&amp;Mode=0</w:t>
        </w:r>
      </w:hyperlink>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Large Exposures Framework for Non-Banking Financial Company - Upper Layer (NBFC-UL)</w:t>
      </w:r>
    </w:p>
    <w:p w:rsidR="00DC2321" w:rsidRPr="00470480" w:rsidRDefault="00DC2321" w:rsidP="00BE4BD6">
      <w:pPr>
        <w:spacing w:after="0"/>
        <w:jc w:val="both"/>
        <w:rPr>
          <w:rFonts w:ascii="Arial" w:hAnsi="Arial" w:cs="Arial"/>
          <w:b/>
          <w:bCs/>
          <w:color w:val="000000"/>
          <w:sz w:val="20"/>
          <w:szCs w:val="20"/>
        </w:rPr>
      </w:pP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RBI/2022-23/32</w:t>
      </w:r>
      <w:r w:rsidRPr="00470480">
        <w:rPr>
          <w:rFonts w:ascii="Arial" w:hAnsi="Arial" w:cs="Arial"/>
          <w:color w:val="000000"/>
          <w:sz w:val="20"/>
          <w:szCs w:val="20"/>
        </w:rPr>
        <w:br/>
        <w:t>DOR.CRE.REC.24/21.01.003/2022-23</w:t>
      </w:r>
    </w:p>
    <w:p w:rsidR="00DC2321" w:rsidRPr="00470480" w:rsidRDefault="00DC2321" w:rsidP="00DC2321">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All Non-Banking Financial Companies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DC2321" w:rsidRPr="00470480" w:rsidRDefault="00DC2321" w:rsidP="00DC2321">
      <w:pPr>
        <w:pStyle w:val="head"/>
        <w:jc w:val="both"/>
        <w:rPr>
          <w:rFonts w:ascii="Arial" w:hAnsi="Arial" w:cs="Arial"/>
          <w:b/>
          <w:bCs/>
          <w:color w:val="000000"/>
          <w:sz w:val="20"/>
          <w:szCs w:val="20"/>
        </w:rPr>
      </w:pPr>
      <w:r w:rsidRPr="00470480">
        <w:rPr>
          <w:rFonts w:ascii="Arial" w:hAnsi="Arial" w:cs="Arial"/>
          <w:b/>
          <w:bCs/>
          <w:color w:val="000000"/>
          <w:sz w:val="20"/>
          <w:szCs w:val="20"/>
        </w:rPr>
        <w:t>Large Exposures Framework for Non-Banking Financial Company - Upper Layer (NBFC-UL)</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3.2.2 (d) of </w:t>
      </w:r>
      <w:hyperlink r:id="rId110" w:tgtFrame="_blank" w:history="1">
        <w:r w:rsidRPr="00470480">
          <w:rPr>
            <w:rStyle w:val="Hyperlink"/>
            <w:rFonts w:ascii="Arial" w:hAnsi="Arial" w:cs="Arial"/>
            <w:sz w:val="20"/>
            <w:szCs w:val="20"/>
          </w:rPr>
          <w:t>RBI circular DOR.CRE.REC.No.60/03.10.001/2021-22 dated October 22, 2021</w:t>
        </w:r>
      </w:hyperlink>
      <w:r w:rsidRPr="00470480">
        <w:rPr>
          <w:rFonts w:ascii="Arial" w:hAnsi="Arial" w:cs="Arial"/>
          <w:color w:val="000000"/>
          <w:sz w:val="20"/>
          <w:szCs w:val="20"/>
        </w:rPr>
        <w:t> on “Scale Based Regulation (SBR): A Revised Regulatory Framework for NBFCs”, in terms of which a Large Exposure Framework (LEF) is prescribed for NBFCs in the Upper Layer.</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2. Detailed guidelines in this regard are </w:t>
      </w:r>
      <w:hyperlink r:id="rId111" w:anchor="AN1" w:history="1">
        <w:r w:rsidRPr="00470480">
          <w:rPr>
            <w:rStyle w:val="Hyperlink"/>
            <w:rFonts w:ascii="Arial" w:hAnsi="Arial" w:cs="Arial"/>
            <w:sz w:val="20"/>
            <w:szCs w:val="20"/>
          </w:rPr>
          <w:t>annexed</w:t>
        </w:r>
      </w:hyperlink>
      <w:r w:rsidRPr="00470480">
        <w:rPr>
          <w:rFonts w:ascii="Arial" w:hAnsi="Arial" w:cs="Arial"/>
          <w:color w:val="000000"/>
          <w:sz w:val="20"/>
          <w:szCs w:val="20"/>
        </w:rPr>
        <w:t>.</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C2321" w:rsidRPr="00470480" w:rsidRDefault="00DC2321" w:rsidP="00DC232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DC2321" w:rsidRPr="00470480" w:rsidRDefault="00DC2321"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112" w:history="1">
        <w:r w:rsidRPr="00470480">
          <w:rPr>
            <w:rStyle w:val="Hyperlink"/>
            <w:rFonts w:ascii="Arial" w:hAnsi="Arial" w:cs="Arial"/>
            <w:sz w:val="20"/>
            <w:szCs w:val="20"/>
          </w:rPr>
          <w:t>https://www.rbi.org.in/Scripts/NotificationUser.aspx?Id=12298&amp;Mode=0</w:t>
        </w:r>
      </w:hyperlink>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470480" w:rsidRDefault="00470480" w:rsidP="00BE4BD6">
      <w:pPr>
        <w:spacing w:after="0"/>
        <w:jc w:val="both"/>
        <w:rPr>
          <w:rFonts w:ascii="Arial" w:hAnsi="Arial" w:cs="Arial"/>
          <w:b/>
          <w:bCs/>
          <w:color w:val="000000"/>
          <w:sz w:val="20"/>
          <w:szCs w:val="20"/>
        </w:rPr>
      </w:pPr>
    </w:p>
    <w:p w:rsidR="00470480" w:rsidRDefault="00470480" w:rsidP="00BE4BD6">
      <w:pPr>
        <w:spacing w:after="0"/>
        <w:jc w:val="both"/>
        <w:rPr>
          <w:rFonts w:ascii="Arial" w:hAnsi="Arial" w:cs="Arial"/>
          <w:b/>
          <w:bCs/>
          <w:color w:val="000000"/>
          <w:sz w:val="20"/>
          <w:szCs w:val="20"/>
        </w:rPr>
      </w:pPr>
    </w:p>
    <w:p w:rsidR="00470480" w:rsidRDefault="00470480" w:rsidP="00BE4BD6">
      <w:pPr>
        <w:spacing w:after="0"/>
        <w:jc w:val="both"/>
        <w:rPr>
          <w:rFonts w:ascii="Arial" w:hAnsi="Arial" w:cs="Arial"/>
          <w:b/>
          <w:bCs/>
          <w:color w:val="000000"/>
          <w:sz w:val="20"/>
          <w:szCs w:val="20"/>
        </w:rPr>
      </w:pPr>
    </w:p>
    <w:p w:rsidR="00DC2321" w:rsidRPr="00470480" w:rsidRDefault="00DC2321" w:rsidP="00BE4BD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Issue and regulation of share capital and securities - State Co-operative Banks and District Central Co-operative Banks</w:t>
      </w:r>
    </w:p>
    <w:p w:rsidR="00DC2321" w:rsidRPr="00470480" w:rsidRDefault="00DC2321" w:rsidP="00BE4BD6">
      <w:pPr>
        <w:spacing w:after="0"/>
        <w:jc w:val="both"/>
        <w:rPr>
          <w:rFonts w:ascii="Arial" w:hAnsi="Arial" w:cs="Arial"/>
          <w:b/>
          <w:bCs/>
          <w:color w:val="000000"/>
          <w:sz w:val="20"/>
          <w:szCs w:val="20"/>
        </w:rPr>
      </w:pP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RBI/2022-23/31</w:t>
      </w:r>
      <w:r w:rsidRPr="00470480">
        <w:rPr>
          <w:rFonts w:ascii="Arial" w:hAnsi="Arial" w:cs="Arial"/>
          <w:color w:val="000000"/>
          <w:sz w:val="20"/>
          <w:szCs w:val="20"/>
        </w:rPr>
        <w:br/>
        <w:t>DOR.CAP.REC.22/09.18.201/2022-23</w:t>
      </w:r>
    </w:p>
    <w:p w:rsidR="00DC2321" w:rsidRPr="00470480" w:rsidRDefault="00DC2321" w:rsidP="00DC2321">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DC2321" w:rsidRPr="00470480" w:rsidRDefault="00DC2321" w:rsidP="00DC2321">
      <w:pPr>
        <w:pStyle w:val="NormalWeb"/>
        <w:rPr>
          <w:rFonts w:ascii="Arial" w:hAnsi="Arial" w:cs="Arial"/>
          <w:color w:val="000000"/>
          <w:sz w:val="20"/>
          <w:szCs w:val="20"/>
        </w:rPr>
      </w:pPr>
      <w:r w:rsidRPr="00470480">
        <w:rPr>
          <w:rFonts w:ascii="Arial" w:hAnsi="Arial" w:cs="Arial"/>
          <w:color w:val="000000"/>
          <w:sz w:val="20"/>
          <w:szCs w:val="20"/>
        </w:rPr>
        <w:t>The Chief Executive Officer</w:t>
      </w:r>
      <w:r w:rsidRPr="00470480">
        <w:rPr>
          <w:rFonts w:ascii="Arial" w:hAnsi="Arial" w:cs="Arial"/>
          <w:color w:val="000000"/>
          <w:sz w:val="20"/>
          <w:szCs w:val="20"/>
        </w:rPr>
        <w:br/>
        <w:t>All State and Central Co-operative Banks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DC2321" w:rsidRPr="00470480" w:rsidRDefault="00DC2321" w:rsidP="00DC2321">
      <w:pPr>
        <w:pStyle w:val="head"/>
        <w:jc w:val="both"/>
        <w:rPr>
          <w:rFonts w:ascii="Arial" w:hAnsi="Arial" w:cs="Arial"/>
          <w:b/>
          <w:bCs/>
          <w:color w:val="000000"/>
          <w:sz w:val="20"/>
          <w:szCs w:val="20"/>
        </w:rPr>
      </w:pPr>
      <w:r w:rsidRPr="00470480">
        <w:rPr>
          <w:rFonts w:ascii="Arial" w:hAnsi="Arial" w:cs="Arial"/>
          <w:b/>
          <w:bCs/>
          <w:color w:val="000000"/>
          <w:sz w:val="20"/>
          <w:szCs w:val="20"/>
        </w:rPr>
        <w:t>Issue and regulation of share capital and securities - State Co-operative Banks and District Central Co-operative Banks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The Banking Regulation (Amendment) Act, 2020 (No. 39 of 2020), notified in the Gazette of India on September 29, 2020 (vide Notification No. 64 of that date), has come into force with effect from April 01, 2021 for Rural Co-operative Banks (RCBs), i.e. State Co-operative Banks (</w:t>
      </w:r>
      <w:proofErr w:type="spellStart"/>
      <w:r w:rsidRPr="00470480">
        <w:rPr>
          <w:rFonts w:ascii="Arial" w:hAnsi="Arial" w:cs="Arial"/>
          <w:color w:val="000000"/>
          <w:sz w:val="20"/>
          <w:szCs w:val="20"/>
        </w:rPr>
        <w:t>StCBs</w:t>
      </w:r>
      <w:proofErr w:type="spellEnd"/>
      <w:r w:rsidRPr="00470480">
        <w:rPr>
          <w:rFonts w:ascii="Arial" w:hAnsi="Arial" w:cs="Arial"/>
          <w:color w:val="000000"/>
          <w:sz w:val="20"/>
          <w:szCs w:val="20"/>
        </w:rPr>
        <w:t>) and District Central Co-operative Banks (DCCBs).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2. The extant instructions for RCBs on issue and regulation of capital funds have been reviewed keeping in view, inter alia, the provisions of Section 12 read with Section 56 of the amended Banking Regulation Act, 1949 (BR Act).</w:t>
      </w:r>
    </w:p>
    <w:p w:rsidR="005F6218" w:rsidRDefault="005F6218" w:rsidP="005F6218">
      <w:pPr>
        <w:pStyle w:val="head"/>
        <w:jc w:val="both"/>
        <w:rPr>
          <w:rFonts w:ascii="Arial" w:hAnsi="Arial" w:cs="Arial"/>
          <w:bCs/>
          <w:color w:val="000000"/>
          <w:sz w:val="20"/>
          <w:szCs w:val="20"/>
        </w:rPr>
      </w:pPr>
    </w:p>
    <w:p w:rsidR="005F6218" w:rsidRDefault="005F6218" w:rsidP="005F6218">
      <w:pPr>
        <w:pStyle w:val="head"/>
        <w:jc w:val="both"/>
        <w:rPr>
          <w:rFonts w:ascii="Arial" w:hAnsi="Arial" w:cs="Arial"/>
          <w:bCs/>
          <w:color w:val="000000"/>
          <w:sz w:val="20"/>
          <w:szCs w:val="20"/>
        </w:rPr>
      </w:pPr>
    </w:p>
    <w:p w:rsidR="005F6218" w:rsidRDefault="005F6218" w:rsidP="005F6218">
      <w:pPr>
        <w:pStyle w:val="head"/>
        <w:spacing w:before="0" w:beforeAutospacing="0"/>
        <w:jc w:val="both"/>
        <w:rPr>
          <w:rFonts w:ascii="Arial" w:hAnsi="Arial" w:cs="Arial"/>
          <w:bCs/>
          <w:color w:val="000000"/>
          <w:sz w:val="20"/>
          <w:szCs w:val="20"/>
        </w:rPr>
      </w:pPr>
      <w:r w:rsidRPr="005F6218">
        <w:rPr>
          <w:rFonts w:ascii="Arial" w:hAnsi="Arial" w:cs="Arial"/>
          <w:bCs/>
          <w:color w:val="000000"/>
          <w:sz w:val="20"/>
          <w:szCs w:val="20"/>
        </w:rPr>
        <w:t xml:space="preserve">For information on </w:t>
      </w:r>
      <w:r w:rsidR="00DC2321" w:rsidRPr="005F6218">
        <w:rPr>
          <w:rFonts w:ascii="Arial" w:hAnsi="Arial" w:cs="Arial"/>
          <w:bCs/>
          <w:color w:val="000000"/>
          <w:sz w:val="20"/>
          <w:szCs w:val="20"/>
        </w:rPr>
        <w:t>Augmentation of capital funds</w:t>
      </w:r>
      <w:r w:rsidRPr="005F6218">
        <w:rPr>
          <w:rFonts w:ascii="Arial" w:hAnsi="Arial" w:cs="Arial"/>
          <w:bCs/>
          <w:color w:val="000000"/>
          <w:sz w:val="20"/>
          <w:szCs w:val="20"/>
        </w:rPr>
        <w:t>, Refund of share capital, Repeal and Effective Date refer to the link below.</w:t>
      </w:r>
    </w:p>
    <w:p w:rsidR="00DC2321" w:rsidRPr="005F6218" w:rsidRDefault="00DC2321" w:rsidP="005F6218">
      <w:pPr>
        <w:pStyle w:val="head"/>
        <w:spacing w:before="0" w:beforeAutospacing="0"/>
        <w:jc w:val="both"/>
        <w:rPr>
          <w:rFonts w:ascii="Arial" w:hAnsi="Arial" w:cs="Arial"/>
          <w:bCs/>
          <w:color w:val="000000"/>
          <w:sz w:val="20"/>
          <w:szCs w:val="20"/>
        </w:rPr>
      </w:pPr>
      <w:r w:rsidRPr="00470480">
        <w:rPr>
          <w:rFonts w:ascii="Arial" w:hAnsi="Arial" w:cs="Arial"/>
          <w:color w:val="000000"/>
          <w:sz w:val="20"/>
          <w:szCs w:val="20"/>
        </w:rPr>
        <w:t xml:space="preserve">Reference Link: </w:t>
      </w:r>
      <w:hyperlink r:id="rId113" w:history="1">
        <w:r w:rsidRPr="00470480">
          <w:rPr>
            <w:rStyle w:val="Hyperlink"/>
            <w:rFonts w:ascii="Arial" w:hAnsi="Arial" w:cs="Arial"/>
            <w:sz w:val="20"/>
            <w:szCs w:val="20"/>
          </w:rPr>
          <w:t>https://www.rbi.org.in/Scripts/NotificationUser.aspx?Id=12297&amp;Mode=0</w:t>
        </w:r>
      </w:hyperlink>
    </w:p>
    <w:p w:rsidR="00DC2321" w:rsidRPr="00470480" w:rsidRDefault="00DC2321" w:rsidP="00DC2321">
      <w:pPr>
        <w:pStyle w:val="NormalWeb"/>
        <w:jc w:val="both"/>
        <w:rPr>
          <w:rFonts w:ascii="Arial" w:hAnsi="Arial" w:cs="Arial"/>
          <w:color w:val="000000"/>
          <w:sz w:val="20"/>
          <w:szCs w:val="20"/>
        </w:rPr>
      </w:pPr>
    </w:p>
    <w:p w:rsidR="00DC2321" w:rsidRPr="00470480" w:rsidRDefault="00DC2321" w:rsidP="00DC2321">
      <w:pPr>
        <w:pStyle w:val="NormalWeb"/>
        <w:jc w:val="both"/>
        <w:rPr>
          <w:rFonts w:ascii="Arial" w:hAnsi="Arial" w:cs="Arial"/>
          <w:color w:val="000000"/>
          <w:sz w:val="20"/>
          <w:szCs w:val="20"/>
        </w:rPr>
      </w:pPr>
    </w:p>
    <w:p w:rsidR="00DC2321" w:rsidRPr="00470480" w:rsidRDefault="00DC2321" w:rsidP="00DC2321">
      <w:pPr>
        <w:pStyle w:val="NormalWeb"/>
        <w:jc w:val="both"/>
        <w:rPr>
          <w:rFonts w:ascii="Arial" w:hAnsi="Arial" w:cs="Arial"/>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AC68C8" w:rsidRDefault="00AC68C8" w:rsidP="00BE4BD6">
      <w:pPr>
        <w:spacing w:after="0"/>
        <w:jc w:val="both"/>
        <w:rPr>
          <w:rFonts w:ascii="Arial" w:hAnsi="Arial" w:cs="Arial"/>
          <w:b/>
          <w:bCs/>
          <w:color w:val="000000"/>
          <w:sz w:val="20"/>
          <w:szCs w:val="20"/>
        </w:rPr>
      </w:pPr>
    </w:p>
    <w:p w:rsidR="00DC2321" w:rsidRPr="00470480" w:rsidRDefault="00DC2321" w:rsidP="00BE4BD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Scale Based Regulation (SBR) for NBFCs: Capital requirements for Non-Banking Finance Companies – Upper Layer (NBFC-UL)</w:t>
      </w:r>
    </w:p>
    <w:p w:rsidR="00DC2321" w:rsidRPr="00470480" w:rsidRDefault="00DC2321" w:rsidP="00BE4BD6">
      <w:pPr>
        <w:spacing w:after="0"/>
        <w:jc w:val="both"/>
        <w:rPr>
          <w:rFonts w:ascii="Arial" w:hAnsi="Arial" w:cs="Arial"/>
          <w:b/>
          <w:bCs/>
          <w:color w:val="000000"/>
          <w:sz w:val="20"/>
          <w:szCs w:val="20"/>
        </w:rPr>
      </w:pP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RBI/2022-23/30</w:t>
      </w:r>
      <w:r w:rsidRPr="00470480">
        <w:rPr>
          <w:rFonts w:ascii="Arial" w:hAnsi="Arial" w:cs="Arial"/>
          <w:color w:val="000000"/>
          <w:sz w:val="20"/>
          <w:szCs w:val="20"/>
        </w:rPr>
        <w:br/>
        <w:t>DOR.CAP.REC.No.21/21.06.201/2022-23</w:t>
      </w:r>
    </w:p>
    <w:p w:rsidR="00DC2321" w:rsidRPr="00470480" w:rsidRDefault="00DC2321" w:rsidP="00DC2321">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DC2321" w:rsidRPr="00470480" w:rsidRDefault="00DC2321" w:rsidP="00DC2321">
      <w:pPr>
        <w:pStyle w:val="head"/>
        <w:jc w:val="both"/>
        <w:rPr>
          <w:rFonts w:ascii="Arial" w:hAnsi="Arial" w:cs="Arial"/>
          <w:b/>
          <w:bCs/>
          <w:color w:val="000000"/>
          <w:sz w:val="20"/>
          <w:szCs w:val="20"/>
        </w:rPr>
      </w:pPr>
      <w:r w:rsidRPr="00470480">
        <w:rPr>
          <w:rFonts w:ascii="Arial" w:hAnsi="Arial" w:cs="Arial"/>
          <w:b/>
          <w:bCs/>
          <w:color w:val="000000"/>
          <w:sz w:val="20"/>
          <w:szCs w:val="20"/>
        </w:rPr>
        <w:t>Scale Based Regulation (SBR) for NBFCs: Capital requirements for Non-Banking Finance Companies – Upper Layer (NBFC-UL)</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14" w:tgtFrame="_blank" w:history="1">
        <w:r w:rsidRPr="00470480">
          <w:rPr>
            <w:rStyle w:val="Hyperlink"/>
            <w:rFonts w:ascii="Arial" w:hAnsi="Arial" w:cs="Arial"/>
            <w:sz w:val="20"/>
            <w:szCs w:val="20"/>
          </w:rPr>
          <w:t>circular DOR.CRE.REC.No.60/03.10.001/2021-22 dated October 22, 2021</w:t>
        </w:r>
      </w:hyperlink>
      <w:r w:rsidRPr="00470480">
        <w:rPr>
          <w:rFonts w:ascii="Arial" w:hAnsi="Arial" w:cs="Arial"/>
          <w:color w:val="000000"/>
          <w:sz w:val="20"/>
          <w:szCs w:val="20"/>
        </w:rPr>
        <w:t> on Scale Based Regulation (SBR): A Revised Regulatory Framework for NBFCs.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2. In terms of paragraph 3.2.1 (b) of the circular ibid, NBFC-UL shall maintain Common Equity Tier 1 capital of at least 9 per cent of Risk Weighted Assets. The detailed guidelines in this regard are provided below:</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3.1. NBFC-UL shall maintain, on an on-going basis, Common Equity Tier 1 (CET1) ratio of at least 9 per cent, where,</w:t>
      </w:r>
    </w:p>
    <w:p w:rsidR="00DC2321" w:rsidRPr="00470480" w:rsidRDefault="00DC2321" w:rsidP="00DC2321">
      <w:pPr>
        <w:jc w:val="center"/>
        <w:rPr>
          <w:rFonts w:ascii="Arial" w:hAnsi="Arial" w:cs="Arial"/>
          <w:color w:val="000000"/>
          <w:sz w:val="20"/>
          <w:szCs w:val="20"/>
        </w:rPr>
      </w:pPr>
      <w:r w:rsidRPr="00470480">
        <w:rPr>
          <w:rFonts w:ascii="Arial" w:hAnsi="Arial" w:cs="Arial"/>
          <w:noProof/>
          <w:color w:val="000000"/>
          <w:sz w:val="20"/>
          <w:szCs w:val="20"/>
          <w:lang w:eastAsia="en-IN"/>
        </w:rPr>
        <w:drawing>
          <wp:inline distT="0" distB="0" distL="0" distR="0">
            <wp:extent cx="5048250" cy="542925"/>
            <wp:effectExtent l="0" t="0" r="0" b="9525"/>
            <wp:docPr id="1" name="Picture 1" descr="Common Equity Tier 1 (CET1)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on Equity Tier 1 (CET1) ratio"/>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048250" cy="542925"/>
                    </a:xfrm>
                    <a:prstGeom prst="rect">
                      <a:avLst/>
                    </a:prstGeom>
                    <a:noFill/>
                    <a:ln>
                      <a:noFill/>
                    </a:ln>
                  </pic:spPr>
                </pic:pic>
              </a:graphicData>
            </a:graphic>
          </wp:inline>
        </w:drawing>
      </w:r>
    </w:p>
    <w:p w:rsidR="005F6218" w:rsidRDefault="005F6218" w:rsidP="00BE4BD6">
      <w:pPr>
        <w:spacing w:after="0"/>
        <w:jc w:val="both"/>
        <w:rPr>
          <w:rFonts w:ascii="Arial" w:hAnsi="Arial" w:cs="Arial"/>
          <w:sz w:val="20"/>
          <w:szCs w:val="20"/>
        </w:rPr>
      </w:pPr>
    </w:p>
    <w:p w:rsidR="005F6218" w:rsidRDefault="005F6218" w:rsidP="00BE4BD6">
      <w:pPr>
        <w:spacing w:after="0"/>
        <w:jc w:val="both"/>
        <w:rPr>
          <w:rFonts w:ascii="Arial" w:hAnsi="Arial" w:cs="Arial"/>
          <w:sz w:val="20"/>
          <w:szCs w:val="20"/>
        </w:rPr>
      </w:pPr>
      <w:r>
        <w:rPr>
          <w:rFonts w:ascii="Arial" w:hAnsi="Arial" w:cs="Arial"/>
          <w:sz w:val="20"/>
          <w:szCs w:val="20"/>
        </w:rPr>
        <w:t xml:space="preserve">For more details, </w:t>
      </w:r>
      <w:r>
        <w:t>the link to the notification is placed below.</w:t>
      </w:r>
    </w:p>
    <w:p w:rsidR="00DC2321" w:rsidRPr="00470480" w:rsidRDefault="00DC2321"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116" w:history="1">
        <w:r w:rsidRPr="00470480">
          <w:rPr>
            <w:rStyle w:val="Hyperlink"/>
            <w:rFonts w:ascii="Arial" w:hAnsi="Arial" w:cs="Arial"/>
            <w:sz w:val="20"/>
            <w:szCs w:val="20"/>
          </w:rPr>
          <w:t>https://www.rbi.org.in/Scripts/NotificationUser.aspx?Id=12296&amp;Mode=0</w:t>
        </w:r>
      </w:hyperlink>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DC2321" w:rsidRPr="00470480" w:rsidRDefault="00DC2321" w:rsidP="00BE4BD6">
      <w:pPr>
        <w:spacing w:after="0"/>
        <w:jc w:val="both"/>
        <w:rPr>
          <w:rFonts w:ascii="Arial" w:hAnsi="Arial" w:cs="Arial"/>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5F6218" w:rsidRDefault="005F6218" w:rsidP="00BE4BD6">
      <w:pPr>
        <w:spacing w:after="0"/>
        <w:jc w:val="both"/>
        <w:rPr>
          <w:rFonts w:ascii="Arial" w:hAnsi="Arial" w:cs="Arial"/>
          <w:b/>
          <w:bCs/>
          <w:color w:val="000000"/>
          <w:sz w:val="20"/>
          <w:szCs w:val="20"/>
        </w:rPr>
      </w:pPr>
    </w:p>
    <w:p w:rsidR="00DC2321" w:rsidRPr="00470480" w:rsidRDefault="00DC2321" w:rsidP="00BE4BD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Limits for investment in debt and sale of Credit Default Swaps by Foreign Portfolio Investors (FPIs)</w:t>
      </w:r>
    </w:p>
    <w:p w:rsidR="00DC2321" w:rsidRPr="00470480" w:rsidRDefault="00DC2321" w:rsidP="00BE4BD6">
      <w:pPr>
        <w:spacing w:after="0"/>
        <w:jc w:val="both"/>
        <w:rPr>
          <w:rFonts w:ascii="Arial" w:hAnsi="Arial" w:cs="Arial"/>
          <w:b/>
          <w:bCs/>
          <w:color w:val="000000"/>
          <w:sz w:val="20"/>
          <w:szCs w:val="20"/>
        </w:rPr>
      </w:pP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RBI/2022-23/28</w:t>
      </w:r>
      <w:r w:rsidRPr="00470480">
        <w:rPr>
          <w:rFonts w:ascii="Arial" w:hAnsi="Arial" w:cs="Arial"/>
          <w:color w:val="000000"/>
          <w:sz w:val="20"/>
          <w:szCs w:val="20"/>
        </w:rPr>
        <w:br/>
        <w:t>A.P. (DIR Series) Circular No. </w:t>
      </w:r>
      <w:r w:rsidRPr="00470480">
        <w:rPr>
          <w:rFonts w:ascii="Arial" w:hAnsi="Arial" w:cs="Arial"/>
          <w:color w:val="FF0000"/>
          <w:sz w:val="20"/>
          <w:szCs w:val="20"/>
        </w:rPr>
        <w:t>01 (revised number)</w:t>
      </w:r>
    </w:p>
    <w:p w:rsidR="00DC2321" w:rsidRPr="00470480" w:rsidRDefault="00DC2321" w:rsidP="00DC2321">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To,</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All Authorized Persons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DC2321" w:rsidRPr="00470480" w:rsidRDefault="00DC2321" w:rsidP="00DC2321">
      <w:pPr>
        <w:pStyle w:val="head"/>
        <w:jc w:val="both"/>
        <w:rPr>
          <w:rFonts w:ascii="Arial" w:hAnsi="Arial" w:cs="Arial"/>
          <w:b/>
          <w:bCs/>
          <w:color w:val="000000"/>
          <w:sz w:val="20"/>
          <w:szCs w:val="20"/>
        </w:rPr>
      </w:pPr>
      <w:r w:rsidRPr="00470480">
        <w:rPr>
          <w:rFonts w:ascii="Arial" w:hAnsi="Arial" w:cs="Arial"/>
          <w:b/>
          <w:bCs/>
          <w:color w:val="000000"/>
          <w:sz w:val="20"/>
          <w:szCs w:val="20"/>
        </w:rPr>
        <w:t>Limits for investment in debt and sale of Credit Default Swaps by Foreign Portfolio Investors (FPIs)</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Attention of Authorised Dealer Category-I (AD Category-I) banks is invited to Schedule 1 to the Foreign Exchange Management (Debt Instruments) Regulations, 2019 notified, vide </w:t>
      </w:r>
      <w:hyperlink r:id="rId117"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as amended from time to time and the relevant Directions issued thereunder.</w:t>
      </w:r>
    </w:p>
    <w:p w:rsidR="00DC2321" w:rsidRPr="00470480" w:rsidRDefault="00DC2321" w:rsidP="00DC2321">
      <w:pPr>
        <w:pStyle w:val="NormalWeb"/>
        <w:jc w:val="both"/>
        <w:rPr>
          <w:rFonts w:ascii="Arial" w:hAnsi="Arial" w:cs="Arial"/>
          <w:color w:val="000000"/>
          <w:sz w:val="20"/>
          <w:szCs w:val="20"/>
        </w:rPr>
      </w:pPr>
      <w:r w:rsidRPr="00470480">
        <w:rPr>
          <w:rFonts w:ascii="Arial" w:hAnsi="Arial" w:cs="Arial"/>
          <w:color w:val="000000"/>
          <w:sz w:val="20"/>
          <w:szCs w:val="20"/>
        </w:rPr>
        <w:t>2. A reference is also invited to the following directions issued by the Reserve Bank:</w:t>
      </w:r>
    </w:p>
    <w:p w:rsidR="00DC2321" w:rsidRPr="00470480" w:rsidRDefault="00FD1759" w:rsidP="00421545">
      <w:pPr>
        <w:pStyle w:val="NormalWeb"/>
        <w:numPr>
          <w:ilvl w:val="0"/>
          <w:numId w:val="36"/>
        </w:numPr>
        <w:ind w:left="0"/>
        <w:jc w:val="both"/>
        <w:rPr>
          <w:rFonts w:ascii="Arial" w:hAnsi="Arial" w:cs="Arial"/>
          <w:color w:val="000000"/>
          <w:sz w:val="20"/>
          <w:szCs w:val="20"/>
        </w:rPr>
      </w:pPr>
      <w:hyperlink r:id="rId118" w:tgtFrame="_blank" w:history="1">
        <w:r w:rsidR="00DC2321" w:rsidRPr="00470480">
          <w:rPr>
            <w:rStyle w:val="Hyperlink"/>
            <w:rFonts w:ascii="Arial" w:hAnsi="Arial" w:cs="Arial"/>
            <w:sz w:val="20"/>
            <w:szCs w:val="20"/>
          </w:rPr>
          <w:t>A.P. (DIR Series) Circular No. 25 dated March 30, 2020</w:t>
        </w:r>
      </w:hyperlink>
      <w:r w:rsidR="00DC2321" w:rsidRPr="00470480">
        <w:rPr>
          <w:rFonts w:ascii="Arial" w:hAnsi="Arial" w:cs="Arial"/>
          <w:color w:val="000000"/>
          <w:sz w:val="20"/>
          <w:szCs w:val="20"/>
        </w:rPr>
        <w:t>;</w:t>
      </w:r>
    </w:p>
    <w:p w:rsidR="00DC2321" w:rsidRPr="00470480" w:rsidRDefault="00FD1759" w:rsidP="00421545">
      <w:pPr>
        <w:pStyle w:val="NormalWeb"/>
        <w:numPr>
          <w:ilvl w:val="0"/>
          <w:numId w:val="36"/>
        </w:numPr>
        <w:ind w:left="0"/>
        <w:jc w:val="both"/>
        <w:rPr>
          <w:rFonts w:ascii="Arial" w:hAnsi="Arial" w:cs="Arial"/>
          <w:color w:val="000000"/>
          <w:sz w:val="20"/>
          <w:szCs w:val="20"/>
        </w:rPr>
      </w:pPr>
      <w:hyperlink r:id="rId119" w:tgtFrame="_blank" w:history="1">
        <w:r w:rsidR="00DC2321" w:rsidRPr="00470480">
          <w:rPr>
            <w:rStyle w:val="Hyperlink"/>
            <w:rFonts w:ascii="Arial" w:hAnsi="Arial" w:cs="Arial"/>
            <w:sz w:val="20"/>
            <w:szCs w:val="20"/>
          </w:rPr>
          <w:t>Circular No. FMRD.FMSD.No.25/14.01.006/2019-20 dated March 30, 2020</w:t>
        </w:r>
      </w:hyperlink>
      <w:r w:rsidR="00DC2321" w:rsidRPr="00470480">
        <w:rPr>
          <w:rFonts w:ascii="Arial" w:hAnsi="Arial" w:cs="Arial"/>
          <w:color w:val="000000"/>
          <w:sz w:val="20"/>
          <w:szCs w:val="20"/>
        </w:rPr>
        <w:t>;</w:t>
      </w:r>
    </w:p>
    <w:p w:rsidR="00DC2321" w:rsidRPr="00470480" w:rsidRDefault="00FD1759" w:rsidP="00421545">
      <w:pPr>
        <w:pStyle w:val="NormalWeb"/>
        <w:numPr>
          <w:ilvl w:val="0"/>
          <w:numId w:val="36"/>
        </w:numPr>
        <w:ind w:left="0"/>
        <w:jc w:val="both"/>
        <w:rPr>
          <w:rFonts w:ascii="Arial" w:hAnsi="Arial" w:cs="Arial"/>
          <w:color w:val="000000"/>
          <w:sz w:val="20"/>
          <w:szCs w:val="20"/>
        </w:rPr>
      </w:pPr>
      <w:hyperlink r:id="rId120" w:tgtFrame="_blank" w:history="1">
        <w:r w:rsidR="00DC2321" w:rsidRPr="00470480">
          <w:rPr>
            <w:rStyle w:val="Hyperlink"/>
            <w:rFonts w:ascii="Arial" w:hAnsi="Arial" w:cs="Arial"/>
            <w:sz w:val="20"/>
            <w:szCs w:val="20"/>
          </w:rPr>
          <w:t>A.P. (DIR Series) Circular No. 05 dated May 31, 2021</w:t>
        </w:r>
      </w:hyperlink>
      <w:r w:rsidR="00DC2321" w:rsidRPr="00470480">
        <w:rPr>
          <w:rFonts w:ascii="Arial" w:hAnsi="Arial" w:cs="Arial"/>
          <w:color w:val="000000"/>
          <w:sz w:val="20"/>
          <w:szCs w:val="20"/>
        </w:rPr>
        <w:t>; and</w:t>
      </w:r>
    </w:p>
    <w:p w:rsidR="00DC2321" w:rsidRPr="00470480" w:rsidRDefault="00FD1759" w:rsidP="00421545">
      <w:pPr>
        <w:pStyle w:val="NormalWeb"/>
        <w:numPr>
          <w:ilvl w:val="0"/>
          <w:numId w:val="36"/>
        </w:numPr>
        <w:ind w:left="0"/>
        <w:jc w:val="both"/>
        <w:rPr>
          <w:rFonts w:ascii="Arial" w:hAnsi="Arial" w:cs="Arial"/>
          <w:color w:val="000000"/>
          <w:sz w:val="20"/>
          <w:szCs w:val="20"/>
        </w:rPr>
      </w:pPr>
      <w:hyperlink r:id="rId121" w:tgtFrame="_blank" w:history="1">
        <w:r w:rsidR="00DC2321" w:rsidRPr="00470480">
          <w:rPr>
            <w:rStyle w:val="Hyperlink"/>
            <w:rFonts w:ascii="Arial" w:hAnsi="Arial" w:cs="Arial"/>
            <w:sz w:val="20"/>
            <w:szCs w:val="20"/>
          </w:rPr>
          <w:t>A.P. (DIR Series) Circular No. 23 dated February 10, 2022</w:t>
        </w:r>
      </w:hyperlink>
      <w:r w:rsidR="00DC2321" w:rsidRPr="00470480">
        <w:rPr>
          <w:rFonts w:ascii="Arial" w:hAnsi="Arial" w:cs="Arial"/>
          <w:color w:val="000000"/>
          <w:sz w:val="20"/>
          <w:szCs w:val="20"/>
        </w:rPr>
        <w:t>.</w:t>
      </w:r>
    </w:p>
    <w:p w:rsidR="00DC2321" w:rsidRPr="00470480" w:rsidRDefault="00DC2321" w:rsidP="00DC2321">
      <w:pPr>
        <w:pStyle w:val="head"/>
        <w:jc w:val="both"/>
        <w:rPr>
          <w:rFonts w:ascii="Arial" w:hAnsi="Arial" w:cs="Arial"/>
          <w:b/>
          <w:bCs/>
          <w:color w:val="000000"/>
          <w:sz w:val="20"/>
          <w:szCs w:val="20"/>
        </w:rPr>
      </w:pPr>
      <w:r w:rsidRPr="00470480">
        <w:rPr>
          <w:rFonts w:ascii="Arial" w:hAnsi="Arial" w:cs="Arial"/>
          <w:b/>
          <w:bCs/>
          <w:color w:val="000000"/>
          <w:sz w:val="20"/>
          <w:szCs w:val="20"/>
        </w:rPr>
        <w:t>3. Investment Limits for the financial year (FY) 2022-23:</w:t>
      </w:r>
    </w:p>
    <w:p w:rsidR="00DC2321" w:rsidRPr="00470480" w:rsidRDefault="00DC2321" w:rsidP="00421545">
      <w:pPr>
        <w:pStyle w:val="NormalWeb"/>
        <w:numPr>
          <w:ilvl w:val="0"/>
          <w:numId w:val="37"/>
        </w:numPr>
        <w:ind w:left="0"/>
        <w:jc w:val="both"/>
        <w:rPr>
          <w:rFonts w:ascii="Arial" w:hAnsi="Arial" w:cs="Arial"/>
          <w:color w:val="000000"/>
          <w:sz w:val="20"/>
          <w:szCs w:val="20"/>
        </w:rPr>
      </w:pPr>
      <w:r w:rsidRPr="00470480">
        <w:rPr>
          <w:rFonts w:ascii="Arial" w:hAnsi="Arial" w:cs="Arial"/>
          <w:color w:val="000000"/>
          <w:sz w:val="20"/>
          <w:szCs w:val="20"/>
        </w:rPr>
        <w:t>The limits for FPI investment in Government securities (G-secs), State Development Loans (SDLs) and corporate bonds shall remain unchanged at 6%, 2% and 15% respectively, of outstanding stocks of securities for FY 2022-23.</w:t>
      </w:r>
    </w:p>
    <w:p w:rsidR="00DC2321" w:rsidRPr="00470480" w:rsidRDefault="00DC2321" w:rsidP="00421545">
      <w:pPr>
        <w:pStyle w:val="NormalWeb"/>
        <w:numPr>
          <w:ilvl w:val="0"/>
          <w:numId w:val="37"/>
        </w:numPr>
        <w:ind w:left="0"/>
        <w:jc w:val="both"/>
        <w:rPr>
          <w:rFonts w:ascii="Arial" w:hAnsi="Arial" w:cs="Arial"/>
          <w:color w:val="000000"/>
          <w:sz w:val="20"/>
          <w:szCs w:val="20"/>
        </w:rPr>
      </w:pPr>
      <w:r w:rsidRPr="00470480">
        <w:rPr>
          <w:rFonts w:ascii="Arial" w:hAnsi="Arial" w:cs="Arial"/>
          <w:color w:val="000000"/>
          <w:sz w:val="20"/>
          <w:szCs w:val="20"/>
        </w:rPr>
        <w:t>As hitherto, all investments by eligible investors in the ‘specified securities’ shall be reckoned under the Fully Accessible Route (FAR) in terms of </w:t>
      </w:r>
      <w:hyperlink r:id="rId122" w:tgtFrame="_blank" w:history="1">
        <w:r w:rsidRPr="00470480">
          <w:rPr>
            <w:rStyle w:val="Hyperlink"/>
            <w:rFonts w:ascii="Arial" w:hAnsi="Arial" w:cs="Arial"/>
            <w:sz w:val="20"/>
            <w:szCs w:val="20"/>
          </w:rPr>
          <w:t>A.P. (DIR Series) Circular No. 25 dated March 30, 2020</w:t>
        </w:r>
      </w:hyperlink>
      <w:r w:rsidRPr="00470480">
        <w:rPr>
          <w:rFonts w:ascii="Arial" w:hAnsi="Arial" w:cs="Arial"/>
          <w:color w:val="000000"/>
          <w:sz w:val="20"/>
          <w:szCs w:val="20"/>
        </w:rPr>
        <w:t>.</w:t>
      </w:r>
    </w:p>
    <w:p w:rsidR="00DC2321" w:rsidRPr="00470480" w:rsidRDefault="00DC2321" w:rsidP="00421545">
      <w:pPr>
        <w:pStyle w:val="NormalWeb"/>
        <w:numPr>
          <w:ilvl w:val="0"/>
          <w:numId w:val="37"/>
        </w:numPr>
        <w:ind w:left="0"/>
        <w:jc w:val="both"/>
        <w:rPr>
          <w:rFonts w:ascii="Arial" w:hAnsi="Arial" w:cs="Arial"/>
          <w:color w:val="000000"/>
          <w:sz w:val="20"/>
          <w:szCs w:val="20"/>
        </w:rPr>
      </w:pPr>
      <w:r w:rsidRPr="00470480">
        <w:rPr>
          <w:rFonts w:ascii="Arial" w:hAnsi="Arial" w:cs="Arial"/>
          <w:color w:val="000000"/>
          <w:sz w:val="20"/>
          <w:szCs w:val="20"/>
        </w:rPr>
        <w:t>The allocation of incremental changes in the G-sec limit (in absolute terms) over the two sub-categories – ‘General’ and ‘Long-term’ – shall be retained at 50:50 for FY 2022-23.</w:t>
      </w:r>
    </w:p>
    <w:p w:rsidR="005F6218" w:rsidRDefault="00DC2321" w:rsidP="005F6218">
      <w:pPr>
        <w:pStyle w:val="NormalWeb"/>
        <w:numPr>
          <w:ilvl w:val="0"/>
          <w:numId w:val="37"/>
        </w:numPr>
        <w:ind w:left="0"/>
        <w:jc w:val="both"/>
        <w:rPr>
          <w:rFonts w:ascii="Arial" w:hAnsi="Arial" w:cs="Arial"/>
          <w:color w:val="000000"/>
          <w:sz w:val="20"/>
          <w:szCs w:val="20"/>
        </w:rPr>
      </w:pPr>
      <w:r w:rsidRPr="00470480">
        <w:rPr>
          <w:rFonts w:ascii="Arial" w:hAnsi="Arial" w:cs="Arial"/>
          <w:color w:val="000000"/>
          <w:sz w:val="20"/>
          <w:szCs w:val="20"/>
        </w:rPr>
        <w:t>The entire increase in limits for SDLs (in absolute terms) has been added to the ‘General’ sub-category of SDLs.</w:t>
      </w:r>
    </w:p>
    <w:p w:rsidR="005F6218" w:rsidRDefault="005F6218" w:rsidP="005F6218">
      <w:pPr>
        <w:pStyle w:val="NormalWeb"/>
        <w:jc w:val="both"/>
        <w:rPr>
          <w:rFonts w:ascii="Arial" w:hAnsi="Arial" w:cs="Arial"/>
          <w:color w:val="000000"/>
          <w:sz w:val="20"/>
          <w:szCs w:val="20"/>
        </w:rPr>
      </w:pPr>
    </w:p>
    <w:p w:rsidR="00DC2321" w:rsidRPr="005F6218" w:rsidRDefault="005F6218" w:rsidP="005F6218">
      <w:pPr>
        <w:pStyle w:val="NormalWeb"/>
        <w:jc w:val="both"/>
        <w:rPr>
          <w:rFonts w:ascii="Arial" w:hAnsi="Arial" w:cs="Arial"/>
          <w:color w:val="000000"/>
          <w:sz w:val="20"/>
          <w:szCs w:val="20"/>
        </w:rPr>
      </w:pPr>
      <w:r w:rsidRPr="005F6218">
        <w:rPr>
          <w:rFonts w:ascii="Arial" w:hAnsi="Arial" w:cs="Arial"/>
          <w:color w:val="000000"/>
          <w:sz w:val="20"/>
          <w:szCs w:val="20"/>
        </w:rPr>
        <w:t>For t</w:t>
      </w:r>
      <w:r w:rsidR="00DC2321" w:rsidRPr="005F6218">
        <w:rPr>
          <w:rFonts w:ascii="Arial" w:hAnsi="Arial" w:cs="Arial"/>
          <w:color w:val="000000"/>
          <w:sz w:val="20"/>
          <w:szCs w:val="20"/>
        </w:rPr>
        <w:t>he revised limits (in absolute term</w:t>
      </w:r>
      <w:r w:rsidRPr="005F6218">
        <w:rPr>
          <w:rFonts w:ascii="Arial" w:hAnsi="Arial" w:cs="Arial"/>
          <w:color w:val="000000"/>
          <w:sz w:val="20"/>
          <w:szCs w:val="20"/>
        </w:rPr>
        <w:t>s) for the different categories and other details, refer to the link provided below.</w:t>
      </w:r>
      <w:r w:rsidR="00DC2321" w:rsidRPr="005F6218">
        <w:rPr>
          <w:rFonts w:ascii="Arial" w:hAnsi="Arial" w:cs="Arial"/>
          <w:color w:val="000000"/>
          <w:sz w:val="20"/>
          <w:szCs w:val="20"/>
        </w:rPr>
        <w:t xml:space="preserve"> </w:t>
      </w:r>
    </w:p>
    <w:p w:rsidR="00DC2321" w:rsidRPr="00470480" w:rsidRDefault="009E2127"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123" w:history="1">
        <w:r w:rsidRPr="00470480">
          <w:rPr>
            <w:rStyle w:val="Hyperlink"/>
            <w:rFonts w:ascii="Arial" w:hAnsi="Arial" w:cs="Arial"/>
            <w:sz w:val="20"/>
            <w:szCs w:val="20"/>
          </w:rPr>
          <w:t>https://www.rbi.org.in/Scripts/NotificationUser.aspx?Id=12295&amp;Mode=0</w:t>
        </w:r>
      </w:hyperlink>
    </w:p>
    <w:p w:rsidR="009E2127" w:rsidRPr="00470480" w:rsidRDefault="009E2127" w:rsidP="00BE4BD6">
      <w:pPr>
        <w:spacing w:after="0"/>
        <w:jc w:val="both"/>
        <w:rPr>
          <w:rFonts w:ascii="Arial" w:hAnsi="Arial" w:cs="Arial"/>
          <w:sz w:val="20"/>
          <w:szCs w:val="20"/>
        </w:rPr>
      </w:pPr>
      <w:r w:rsidRPr="00470480">
        <w:rPr>
          <w:rFonts w:ascii="Arial" w:hAnsi="Arial" w:cs="Arial"/>
          <w:sz w:val="20"/>
          <w:szCs w:val="20"/>
        </w:rPr>
        <w:tab/>
      </w: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5F6218" w:rsidRDefault="005F6218"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Loans and Advances – Regulatory Restrictions – NBFCs</w:t>
      </w:r>
    </w:p>
    <w:p w:rsidR="009E2127" w:rsidRPr="00470480" w:rsidRDefault="009E2127" w:rsidP="00BE4BD6">
      <w:pPr>
        <w:spacing w:after="0"/>
        <w:jc w:val="both"/>
        <w:rPr>
          <w:rFonts w:ascii="Arial" w:hAnsi="Arial" w:cs="Arial"/>
          <w:b/>
          <w:bCs/>
          <w:color w:val="000000"/>
          <w:sz w:val="20"/>
          <w:szCs w:val="20"/>
        </w:rPr>
      </w:pP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RBI/2022-23/29</w:t>
      </w:r>
      <w:r w:rsidRPr="00470480">
        <w:rPr>
          <w:rFonts w:ascii="Arial" w:hAnsi="Arial" w:cs="Arial"/>
          <w:color w:val="000000"/>
          <w:sz w:val="20"/>
          <w:szCs w:val="20"/>
        </w:rPr>
        <w:br/>
        <w:t>DOR.CRE.REC.No.25/03.10.001/2022-23</w:t>
      </w:r>
    </w:p>
    <w:p w:rsidR="009E2127" w:rsidRPr="00470480" w:rsidRDefault="009E2127" w:rsidP="009E2127">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All Non-Banking Financial Companies</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9E2127" w:rsidRPr="00470480" w:rsidRDefault="009E2127" w:rsidP="009E2127">
      <w:pPr>
        <w:pStyle w:val="head"/>
        <w:jc w:val="both"/>
        <w:rPr>
          <w:rFonts w:ascii="Arial" w:hAnsi="Arial" w:cs="Arial"/>
          <w:b/>
          <w:bCs/>
          <w:color w:val="000000"/>
          <w:sz w:val="20"/>
          <w:szCs w:val="20"/>
        </w:rPr>
      </w:pPr>
      <w:r w:rsidRPr="00470480">
        <w:rPr>
          <w:rFonts w:ascii="Arial" w:hAnsi="Arial" w:cs="Arial"/>
          <w:b/>
          <w:bCs/>
          <w:color w:val="000000"/>
          <w:sz w:val="20"/>
          <w:szCs w:val="20"/>
        </w:rPr>
        <w:t>Loans and Advances – Regulatory Restrictions - NBFCs</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In terms of para 3.2.2 (c) and para 3.2.3 (b) &amp; (c) of the </w:t>
      </w:r>
      <w:hyperlink r:id="rId124" w:tgtFrame="_blank" w:history="1">
        <w:r w:rsidRPr="00470480">
          <w:rPr>
            <w:rStyle w:val="Hyperlink"/>
            <w:rFonts w:ascii="Arial" w:hAnsi="Arial" w:cs="Arial"/>
            <w:sz w:val="20"/>
            <w:szCs w:val="20"/>
          </w:rPr>
          <w:t>circular on Scale Based Regulation (SBR): A Revised Regulatory Framework for NBFCs issued on October 22, 2021</w:t>
        </w:r>
      </w:hyperlink>
      <w:r w:rsidRPr="00470480">
        <w:rPr>
          <w:rFonts w:ascii="Arial" w:hAnsi="Arial" w:cs="Arial"/>
          <w:color w:val="000000"/>
          <w:sz w:val="20"/>
          <w:szCs w:val="20"/>
        </w:rPr>
        <w:t>, certain regulatory restrictions on lending were introduced in respect of NBFCs placed in different layers. Detailed guidelines in this regard are placed as </w:t>
      </w:r>
      <w:hyperlink r:id="rId125" w:anchor="AN" w:history="1">
        <w:r w:rsidRPr="00470480">
          <w:rPr>
            <w:rStyle w:val="Hyperlink"/>
            <w:rFonts w:ascii="Arial" w:hAnsi="Arial" w:cs="Arial"/>
            <w:sz w:val="20"/>
            <w:szCs w:val="20"/>
          </w:rPr>
          <w:t>Annex</w:t>
        </w:r>
      </w:hyperlink>
      <w:r w:rsidRPr="00470480">
        <w:rPr>
          <w:rFonts w:ascii="Arial" w:hAnsi="Arial" w:cs="Arial"/>
          <w:color w:val="000000"/>
          <w:sz w:val="20"/>
          <w:szCs w:val="20"/>
        </w:rPr>
        <w:t> to this circular.</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2. These guidelines shall be effective from October 01, 2022.</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9E2127" w:rsidRPr="00470480" w:rsidRDefault="009E2127" w:rsidP="009E212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C68C8" w:rsidRDefault="00AC68C8" w:rsidP="00BE4BD6">
      <w:pPr>
        <w:spacing w:after="0"/>
        <w:jc w:val="both"/>
        <w:rPr>
          <w:rFonts w:ascii="Arial" w:hAnsi="Arial" w:cs="Arial"/>
          <w:sz w:val="20"/>
          <w:szCs w:val="20"/>
        </w:rPr>
      </w:pPr>
    </w:p>
    <w:p w:rsidR="00AC68C8" w:rsidRDefault="00AC68C8"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126" w:history="1">
        <w:r w:rsidRPr="00470480">
          <w:rPr>
            <w:rStyle w:val="Hyperlink"/>
            <w:rFonts w:ascii="Arial" w:hAnsi="Arial" w:cs="Arial"/>
            <w:sz w:val="20"/>
            <w:szCs w:val="20"/>
          </w:rPr>
          <w:t>https://www.rbi.org.in/Scripts/NotificationUser.aspx?Id=12294&amp;Mode=0</w:t>
        </w:r>
      </w:hyperlink>
    </w:p>
    <w:p w:rsidR="009E2127" w:rsidRPr="00470480" w:rsidRDefault="009E2127" w:rsidP="00BE4BD6">
      <w:pPr>
        <w:spacing w:after="0"/>
        <w:jc w:val="both"/>
        <w:rPr>
          <w:rFonts w:ascii="Arial" w:hAnsi="Arial" w:cs="Arial"/>
          <w:sz w:val="20"/>
          <w:szCs w:val="20"/>
        </w:rPr>
      </w:pPr>
      <w:r w:rsidRPr="00470480">
        <w:rPr>
          <w:rFonts w:ascii="Arial" w:hAnsi="Arial" w:cs="Arial"/>
          <w:sz w:val="20"/>
          <w:szCs w:val="20"/>
        </w:rPr>
        <w:tab/>
      </w: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AC68C8" w:rsidRDefault="00AC68C8" w:rsidP="00BE4BD6">
      <w:pPr>
        <w:spacing w:after="0"/>
        <w:jc w:val="both"/>
        <w:rPr>
          <w:rFonts w:ascii="Arial" w:hAnsi="Arial" w:cs="Arial"/>
          <w:b/>
          <w:bCs/>
          <w:color w:val="000000"/>
          <w:sz w:val="20"/>
          <w:szCs w:val="20"/>
        </w:rPr>
      </w:pPr>
    </w:p>
    <w:p w:rsidR="009E2127" w:rsidRPr="00470480" w:rsidRDefault="009E2127" w:rsidP="00BE4BD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Consolidated Circular on Opening of Current Accounts and CC/OD Accounts by Banks</w:t>
      </w:r>
    </w:p>
    <w:p w:rsidR="009E2127" w:rsidRPr="00470480" w:rsidRDefault="009E2127" w:rsidP="00BE4BD6">
      <w:pPr>
        <w:spacing w:after="0"/>
        <w:jc w:val="both"/>
        <w:rPr>
          <w:rFonts w:ascii="Arial" w:hAnsi="Arial" w:cs="Arial"/>
          <w:b/>
          <w:bCs/>
          <w:color w:val="000000"/>
          <w:sz w:val="20"/>
          <w:szCs w:val="20"/>
        </w:rPr>
      </w:pP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RBI/2022-23/27</w:t>
      </w:r>
      <w:r w:rsidRPr="00470480">
        <w:rPr>
          <w:rFonts w:ascii="Arial" w:hAnsi="Arial" w:cs="Arial"/>
          <w:color w:val="000000"/>
          <w:sz w:val="20"/>
          <w:szCs w:val="20"/>
        </w:rPr>
        <w:br/>
        <w:t>DOR.CRE.REC.23/21.08.008/2022-23</w:t>
      </w:r>
    </w:p>
    <w:p w:rsidR="009E2127" w:rsidRPr="00470480" w:rsidRDefault="009E2127" w:rsidP="009E2127">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9E2127" w:rsidRPr="00470480" w:rsidRDefault="009E2127" w:rsidP="009E2127">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All Payments Banks</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9E2127" w:rsidRPr="00470480" w:rsidRDefault="009E2127" w:rsidP="009E2127">
      <w:pPr>
        <w:pStyle w:val="head"/>
        <w:jc w:val="center"/>
        <w:rPr>
          <w:rFonts w:ascii="Arial" w:hAnsi="Arial" w:cs="Arial"/>
          <w:b/>
          <w:bCs/>
          <w:color w:val="000000"/>
          <w:sz w:val="20"/>
          <w:szCs w:val="20"/>
        </w:rPr>
      </w:pPr>
      <w:r w:rsidRPr="00470480">
        <w:rPr>
          <w:rFonts w:ascii="Arial" w:hAnsi="Arial" w:cs="Arial"/>
          <w:b/>
          <w:bCs/>
          <w:color w:val="000000"/>
          <w:sz w:val="20"/>
          <w:szCs w:val="20"/>
        </w:rPr>
        <w:t>Consolidated Circular on Opening of Current Accounts and CC/OD Accounts by Banks</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127" w:tgtFrame="_blank" w:history="1">
        <w:r w:rsidRPr="00470480">
          <w:rPr>
            <w:rStyle w:val="Hyperlink"/>
            <w:rFonts w:ascii="Arial" w:hAnsi="Arial" w:cs="Arial"/>
            <w:sz w:val="20"/>
            <w:szCs w:val="20"/>
          </w:rPr>
          <w:t xml:space="preserve">circular </w:t>
        </w:r>
        <w:proofErr w:type="spellStart"/>
        <w:r w:rsidRPr="00470480">
          <w:rPr>
            <w:rStyle w:val="Hyperlink"/>
            <w:rFonts w:ascii="Arial" w:hAnsi="Arial" w:cs="Arial"/>
            <w:sz w:val="20"/>
            <w:szCs w:val="20"/>
          </w:rPr>
          <w:t>DOR.No.BP.BC</w:t>
        </w:r>
        <w:proofErr w:type="spellEnd"/>
        <w:r w:rsidRPr="00470480">
          <w:rPr>
            <w:rStyle w:val="Hyperlink"/>
            <w:rFonts w:ascii="Arial" w:hAnsi="Arial" w:cs="Arial"/>
            <w:sz w:val="20"/>
            <w:szCs w:val="20"/>
          </w:rPr>
          <w:t>/7/21.04.048/2020-21 dated August 6, 2020</w:t>
        </w:r>
      </w:hyperlink>
      <w:r w:rsidRPr="00470480">
        <w:rPr>
          <w:rFonts w:ascii="Arial" w:hAnsi="Arial" w:cs="Arial"/>
          <w:color w:val="000000"/>
          <w:sz w:val="20"/>
          <w:szCs w:val="20"/>
        </w:rPr>
        <w:t> on Opening of Current Accounts by Banks - Need for Discipline and associated circulars thereon</w:t>
      </w:r>
      <w:hyperlink r:id="rId128"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The </w:t>
      </w:r>
      <w:hyperlink r:id="rId129" w:anchor="AN_1" w:history="1">
        <w:r w:rsidRPr="00470480">
          <w:rPr>
            <w:rStyle w:val="Hyperlink"/>
            <w:rFonts w:ascii="Arial" w:hAnsi="Arial" w:cs="Arial"/>
            <w:sz w:val="20"/>
            <w:szCs w:val="20"/>
          </w:rPr>
          <w:t>Annex</w:t>
        </w:r>
      </w:hyperlink>
      <w:r w:rsidRPr="00470480">
        <w:rPr>
          <w:rFonts w:ascii="Arial" w:hAnsi="Arial" w:cs="Arial"/>
          <w:color w:val="000000"/>
          <w:sz w:val="20"/>
          <w:szCs w:val="20"/>
        </w:rPr>
        <w:t> consolidates all instructions/ guidelines issued on the subject till date.</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9E2127" w:rsidRPr="00470480" w:rsidRDefault="009E2127" w:rsidP="009E212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9E2127" w:rsidRPr="00470480" w:rsidRDefault="009E2127" w:rsidP="009E2127">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Flowcharts</w:t>
      </w:r>
    </w:p>
    <w:p w:rsidR="009E2127" w:rsidRPr="00470480" w:rsidRDefault="009E2127" w:rsidP="00BE4BD6">
      <w:pPr>
        <w:spacing w:after="0"/>
        <w:jc w:val="both"/>
        <w:rPr>
          <w:rFonts w:ascii="Arial" w:hAnsi="Arial" w:cs="Arial"/>
          <w:sz w:val="20"/>
          <w:szCs w:val="20"/>
        </w:rPr>
      </w:pPr>
    </w:p>
    <w:p w:rsidR="00AC68C8" w:rsidRDefault="00AC68C8" w:rsidP="00BE4BD6">
      <w:pPr>
        <w:spacing w:after="0"/>
        <w:jc w:val="both"/>
        <w:rPr>
          <w:rFonts w:ascii="Arial" w:hAnsi="Arial" w:cs="Arial"/>
          <w:sz w:val="20"/>
          <w:szCs w:val="20"/>
        </w:rPr>
      </w:pPr>
    </w:p>
    <w:p w:rsidR="00AC68C8" w:rsidRDefault="00AC68C8"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130" w:history="1">
        <w:r w:rsidRPr="00470480">
          <w:rPr>
            <w:rStyle w:val="Hyperlink"/>
            <w:rFonts w:ascii="Arial" w:hAnsi="Arial" w:cs="Arial"/>
            <w:sz w:val="20"/>
            <w:szCs w:val="20"/>
          </w:rPr>
          <w:t>https://www.rbi.org.in/Scripts/NotificationUser.aspx?Id=12293&amp;Mode=0</w:t>
        </w:r>
      </w:hyperlink>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9E2127" w:rsidRPr="00470480" w:rsidRDefault="009E2127"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Disclosures in Financial Statements- Notes to Accounts of NBFCs</w:t>
      </w:r>
    </w:p>
    <w:p w:rsidR="009E2127" w:rsidRPr="00470480" w:rsidRDefault="009E2127" w:rsidP="00BE4BD6">
      <w:pPr>
        <w:spacing w:after="0"/>
        <w:jc w:val="both"/>
        <w:rPr>
          <w:rFonts w:ascii="Arial" w:hAnsi="Arial" w:cs="Arial"/>
          <w:b/>
          <w:bCs/>
          <w:color w:val="000000"/>
          <w:sz w:val="20"/>
          <w:szCs w:val="20"/>
        </w:rPr>
      </w:pP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RBI/2022-23/26</w:t>
      </w:r>
      <w:r w:rsidRPr="00470480">
        <w:rPr>
          <w:rFonts w:ascii="Arial" w:hAnsi="Arial" w:cs="Arial"/>
          <w:color w:val="000000"/>
          <w:sz w:val="20"/>
          <w:szCs w:val="20"/>
        </w:rPr>
        <w:br/>
        <w:t>DOR.ACC.REC.No.20/21.04.018/2022-23</w:t>
      </w:r>
    </w:p>
    <w:p w:rsidR="009E2127" w:rsidRPr="00470480" w:rsidRDefault="009E2127" w:rsidP="009E2127">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9E2127" w:rsidRPr="00470480" w:rsidRDefault="009E2127" w:rsidP="009E2127">
      <w:pPr>
        <w:pStyle w:val="head"/>
        <w:jc w:val="center"/>
        <w:rPr>
          <w:rFonts w:ascii="Arial" w:hAnsi="Arial" w:cs="Arial"/>
          <w:b/>
          <w:bCs/>
          <w:color w:val="000000"/>
          <w:sz w:val="20"/>
          <w:szCs w:val="20"/>
        </w:rPr>
      </w:pPr>
      <w:r w:rsidRPr="00470480">
        <w:rPr>
          <w:rFonts w:ascii="Arial" w:hAnsi="Arial" w:cs="Arial"/>
          <w:b/>
          <w:bCs/>
          <w:color w:val="000000"/>
          <w:sz w:val="20"/>
          <w:szCs w:val="20"/>
        </w:rPr>
        <w:t>Disclosures in Financial Statements- Notes to Accounts of NBFCs</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131" w:tgtFrame="_blank" w:history="1">
        <w:r w:rsidRPr="00470480">
          <w:rPr>
            <w:rStyle w:val="Hyperlink"/>
            <w:rFonts w:ascii="Arial" w:hAnsi="Arial" w:cs="Arial"/>
            <w:sz w:val="20"/>
            <w:szCs w:val="20"/>
          </w:rPr>
          <w:t>circular DOR.CRE.REC.No.60/03.10.001/2021-22 dated October 22, 2021</w:t>
        </w:r>
      </w:hyperlink>
      <w:r w:rsidRPr="00470480">
        <w:rPr>
          <w:rFonts w:ascii="Arial" w:hAnsi="Arial" w:cs="Arial"/>
          <w:color w:val="000000"/>
          <w:sz w:val="20"/>
          <w:szCs w:val="20"/>
        </w:rPr>
        <w:t> on ‘Scale Based Regulation (SBR): A Revised Regulatory Framework’ for NBFCs, which inter-alia envisages certain specific disclosures.</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2. Non-Banking Finance Companies (NBFCs) are required to make disclosures in their financial statements in accordance with existing prudential guidelines, applicable accounting standards, laws, and regulations. The additional disclosure requirements for NBFCs in accordance with the SBR framework are outlined in the </w:t>
      </w:r>
      <w:hyperlink r:id="rId132" w:tgtFrame="_blank"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3. These disclosures are in addition to and not in substitution of the disclosure requirements specified under other laws, regulations, or accounting and financial reporting standards. More comprehensive disclosures than the minimum required are encouraged, especially if such disclosures significantly aid in the understanding of the financial position and performance.</w:t>
      </w:r>
    </w:p>
    <w:p w:rsidR="009E2127" w:rsidRPr="00470480" w:rsidRDefault="009E2127" w:rsidP="009E2127">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NBFCs. The Annex specifies the applicability of specific disclosure requirements to specific NBFC layers as per Scale Based Regulation. It may be noted that disclosure requirements applicable to lower layers of NBFCs will be applicable to NBFCs in higher layers. These guidelines shall be effective for annual financial statements for year ending March 31, 2023, and onwards.</w:t>
      </w:r>
    </w:p>
    <w:p w:rsidR="009E2127" w:rsidRPr="00470480" w:rsidRDefault="009E2127" w:rsidP="009E212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r w:rsidRPr="00470480">
        <w:rPr>
          <w:rFonts w:ascii="Arial" w:hAnsi="Arial" w:cs="Arial"/>
          <w:sz w:val="20"/>
          <w:szCs w:val="20"/>
        </w:rPr>
        <w:t xml:space="preserve">Reference Links: </w:t>
      </w:r>
      <w:hyperlink r:id="rId133" w:history="1">
        <w:r w:rsidRPr="00470480">
          <w:rPr>
            <w:rStyle w:val="Hyperlink"/>
            <w:rFonts w:ascii="Arial" w:hAnsi="Arial" w:cs="Arial"/>
            <w:sz w:val="20"/>
            <w:szCs w:val="20"/>
          </w:rPr>
          <w:t>https://www.rbi.org.in/Scripts/NotificationUser.aspx?Id=12292&amp;Mode=0</w:t>
        </w:r>
      </w:hyperlink>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9E2127" w:rsidRPr="00470480" w:rsidRDefault="009E2127" w:rsidP="00BE4BD6">
      <w:pPr>
        <w:spacing w:after="0"/>
        <w:jc w:val="both"/>
        <w:rPr>
          <w:rFonts w:ascii="Arial" w:hAnsi="Arial" w:cs="Arial"/>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9E2127" w:rsidRPr="00470480" w:rsidRDefault="009E2127"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Basel III Framework on Liquidity Standards – Liquidity Coverage Ratio (LCR)</w:t>
      </w:r>
    </w:p>
    <w:p w:rsidR="009E2127" w:rsidRPr="00470480" w:rsidRDefault="009E2127" w:rsidP="00BE4BD6">
      <w:pPr>
        <w:spacing w:after="0"/>
        <w:jc w:val="both"/>
        <w:rPr>
          <w:rFonts w:ascii="Arial" w:hAnsi="Arial" w:cs="Arial"/>
          <w:b/>
          <w:bCs/>
          <w:color w:val="000000"/>
          <w:sz w:val="20"/>
          <w:szCs w:val="20"/>
        </w:rPr>
      </w:pP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RBI/2022-23/25</w:t>
      </w:r>
      <w:r w:rsidRPr="00470480">
        <w:rPr>
          <w:rFonts w:ascii="Arial" w:hAnsi="Arial" w:cs="Arial"/>
          <w:color w:val="000000"/>
          <w:sz w:val="20"/>
          <w:szCs w:val="20"/>
        </w:rPr>
        <w:br/>
        <w:t>DOR.LRG.REC.19/21.04.098/2022-23</w:t>
      </w:r>
    </w:p>
    <w:p w:rsidR="009E2127" w:rsidRPr="00470480" w:rsidRDefault="009E2127" w:rsidP="009E2127">
      <w:pPr>
        <w:pStyle w:val="NormalWeb"/>
        <w:jc w:val="right"/>
        <w:rPr>
          <w:rFonts w:ascii="Arial" w:hAnsi="Arial" w:cs="Arial"/>
          <w:color w:val="000000"/>
          <w:sz w:val="20"/>
          <w:szCs w:val="20"/>
        </w:rPr>
      </w:pPr>
      <w:r w:rsidRPr="00470480">
        <w:rPr>
          <w:rFonts w:ascii="Arial" w:hAnsi="Arial" w:cs="Arial"/>
          <w:color w:val="000000"/>
          <w:sz w:val="20"/>
          <w:szCs w:val="20"/>
        </w:rPr>
        <w:t>April 18, 2022</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9E2127" w:rsidRPr="00470480" w:rsidRDefault="009E2127" w:rsidP="009E2127">
      <w:pPr>
        <w:pStyle w:val="head"/>
        <w:jc w:val="both"/>
        <w:rPr>
          <w:rFonts w:ascii="Arial" w:hAnsi="Arial" w:cs="Arial"/>
          <w:b/>
          <w:bCs/>
          <w:color w:val="000000"/>
          <w:sz w:val="20"/>
          <w:szCs w:val="20"/>
        </w:rPr>
      </w:pPr>
      <w:r w:rsidRPr="00470480">
        <w:rPr>
          <w:rFonts w:ascii="Arial" w:hAnsi="Arial" w:cs="Arial"/>
          <w:b/>
          <w:bCs/>
          <w:color w:val="000000"/>
          <w:sz w:val="20"/>
          <w:szCs w:val="20"/>
        </w:rPr>
        <w:t>Basel III Framework on Liquidity Standards – Liquidity Coverage Ratio (LCR)</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134" w:tgtFrame="_blank" w:history="1">
        <w:r w:rsidRPr="00470480">
          <w:rPr>
            <w:rStyle w:val="Hyperlink"/>
            <w:rFonts w:ascii="Arial" w:hAnsi="Arial" w:cs="Arial"/>
            <w:sz w:val="20"/>
            <w:szCs w:val="20"/>
          </w:rPr>
          <w:t>circular DOR.BP.BC.No.65/21.04.098/2019-20 dated April 17, 2020</w:t>
        </w:r>
      </w:hyperlink>
      <w:r w:rsidRPr="00470480">
        <w:rPr>
          <w:rFonts w:ascii="Arial" w:hAnsi="Arial" w:cs="Arial"/>
          <w:color w:val="000000"/>
          <w:sz w:val="20"/>
          <w:szCs w:val="20"/>
        </w:rPr>
        <w:t> on Basel III Framework on Liquidity Standards – Liquidity Coverage Ratio (LCR).</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2. In terms of the circular ibid, the assets allowed as Level 1 High Quality Liquid Assets (HQLAs) for the purpose of computing the LCR, inter alia, include (a) Government securities in excess of the mandatory SLR requirement and (b) within the mandatory SLR requirement, Government securities to the extent allowed under (</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Marginal Standing Facility (MSF) and (ii) Facility to Avail Liquidity for Liquidity Coverage Ratio (FALLCR) [15 per cent of the banks’ Net Demand and Time Liabilities (NDTL)].</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3. Since MSF has been reduced to 2 per cent from 3 per cent of NDTL from January 1, 2022, the total HQLA carve out from the mandatory SLR, which can be reckoned for meeting LCR requirement, has reduced to 17 per cent of NDTL (2 per cent MSF plus 15 per cent FALLCR) from 18 percent.</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4. On a review, it has been decided to permit banks to reckon Government securities as Level 1 HQLA under FALLCR within the mandatory SLR requirement up to 16 per cent of their NDTL. Accordingly, the total HQLA carve out from the mandatory SLR, which can be reckoned for meeting LCR requirement will be 18 per cent of NDTL (2 per cent MSF plus 16 per cent FALLCR).</w:t>
      </w:r>
    </w:p>
    <w:p w:rsidR="009E2127" w:rsidRPr="00470480" w:rsidRDefault="009E2127" w:rsidP="009E2127">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5. This circular is applicable to all Commercial Banks other than Regional Rural Banks, Local Area Banks and Payments Banks.</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6. These instructions shall come into force with immediate effect.</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9E2127" w:rsidRPr="00470480" w:rsidRDefault="009E2127" w:rsidP="009E212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9E2127" w:rsidRPr="00470480" w:rsidRDefault="009E2127" w:rsidP="009E2127">
      <w:pPr>
        <w:pStyle w:val="NormalWeb"/>
        <w:rPr>
          <w:rFonts w:ascii="Arial" w:hAnsi="Arial" w:cs="Arial"/>
          <w:color w:val="000000"/>
          <w:sz w:val="20"/>
          <w:szCs w:val="20"/>
        </w:rPr>
      </w:pPr>
    </w:p>
    <w:p w:rsidR="009E2127" w:rsidRPr="00470480" w:rsidRDefault="009E2127" w:rsidP="009E2127">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35" w:history="1">
        <w:r w:rsidRPr="00470480">
          <w:rPr>
            <w:rStyle w:val="Hyperlink"/>
            <w:rFonts w:ascii="Arial" w:hAnsi="Arial" w:cs="Arial"/>
            <w:sz w:val="20"/>
            <w:szCs w:val="20"/>
          </w:rPr>
          <w:t>https://www.rbi.org.in/Scripts/NotificationUser.aspx?Id=12291&amp;Mode=0</w:t>
        </w:r>
      </w:hyperlink>
    </w:p>
    <w:p w:rsidR="009E2127" w:rsidRPr="00470480" w:rsidRDefault="009E2127" w:rsidP="009E2127">
      <w:pPr>
        <w:pStyle w:val="NormalWeb"/>
        <w:rPr>
          <w:rFonts w:ascii="Arial" w:hAnsi="Arial" w:cs="Arial"/>
          <w:color w:val="000000"/>
          <w:sz w:val="20"/>
          <w:szCs w:val="20"/>
        </w:rPr>
      </w:pPr>
    </w:p>
    <w:p w:rsidR="009E2127" w:rsidRPr="00470480" w:rsidRDefault="009E2127" w:rsidP="009E2127">
      <w:pPr>
        <w:pStyle w:val="NormalWeb"/>
        <w:rPr>
          <w:rFonts w:ascii="Arial" w:hAnsi="Arial" w:cs="Arial"/>
          <w:color w:val="000000"/>
          <w:sz w:val="20"/>
          <w:szCs w:val="20"/>
        </w:rPr>
      </w:pPr>
    </w:p>
    <w:p w:rsidR="009E2127" w:rsidRPr="00470480" w:rsidRDefault="009E2127" w:rsidP="009E2127">
      <w:pPr>
        <w:pStyle w:val="NormalWeb"/>
        <w:rPr>
          <w:rFonts w:ascii="Arial" w:hAnsi="Arial" w:cs="Arial"/>
          <w:color w:val="000000"/>
          <w:sz w:val="20"/>
          <w:szCs w:val="20"/>
        </w:rPr>
      </w:pPr>
    </w:p>
    <w:p w:rsidR="009E2127" w:rsidRPr="00470480" w:rsidRDefault="009E2127" w:rsidP="009E2127">
      <w:pPr>
        <w:pStyle w:val="NormalWeb"/>
        <w:rPr>
          <w:rFonts w:ascii="Arial" w:hAnsi="Arial" w:cs="Arial"/>
          <w:color w:val="000000"/>
          <w:sz w:val="20"/>
          <w:szCs w:val="20"/>
        </w:rPr>
      </w:pPr>
    </w:p>
    <w:p w:rsidR="009E2127" w:rsidRPr="00470480" w:rsidRDefault="009E2127" w:rsidP="009E2127">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Compliance Function and Role of Chief Compliance Officer (CCO) – NBFCs</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RBI/2022-23/24</w:t>
      </w:r>
      <w:r w:rsidRPr="00470480">
        <w:rPr>
          <w:rFonts w:ascii="Arial" w:hAnsi="Arial" w:cs="Arial"/>
          <w:color w:val="000000"/>
          <w:sz w:val="20"/>
          <w:szCs w:val="20"/>
        </w:rPr>
        <w:br/>
      </w:r>
      <w:proofErr w:type="spellStart"/>
      <w:r w:rsidRPr="00470480">
        <w:rPr>
          <w:rFonts w:ascii="Arial" w:hAnsi="Arial" w:cs="Arial"/>
          <w:color w:val="000000"/>
          <w:sz w:val="20"/>
          <w:szCs w:val="20"/>
        </w:rPr>
        <w:t>Ref.No.DoS.CO.PPG</w:t>
      </w:r>
      <w:proofErr w:type="spellEnd"/>
      <w:r w:rsidRPr="00470480">
        <w:rPr>
          <w:rFonts w:ascii="Arial" w:hAnsi="Arial" w:cs="Arial"/>
          <w:color w:val="000000"/>
          <w:sz w:val="20"/>
          <w:szCs w:val="20"/>
        </w:rPr>
        <w:t>./SEC.01/11.01.005/2022-23</w:t>
      </w:r>
    </w:p>
    <w:p w:rsidR="009E2127" w:rsidRPr="00470480" w:rsidRDefault="009E2127" w:rsidP="009E2127">
      <w:pPr>
        <w:pStyle w:val="NormalWeb"/>
        <w:jc w:val="right"/>
        <w:rPr>
          <w:rFonts w:ascii="Arial" w:hAnsi="Arial" w:cs="Arial"/>
          <w:color w:val="000000"/>
          <w:sz w:val="20"/>
          <w:szCs w:val="20"/>
        </w:rPr>
      </w:pPr>
      <w:r w:rsidRPr="00470480">
        <w:rPr>
          <w:rFonts w:ascii="Arial" w:hAnsi="Arial" w:cs="Arial"/>
          <w:color w:val="000000"/>
          <w:sz w:val="20"/>
          <w:szCs w:val="20"/>
        </w:rPr>
        <w:t>April 11, 2022</w:t>
      </w:r>
    </w:p>
    <w:p w:rsidR="009E2127" w:rsidRPr="00470480" w:rsidRDefault="009E2127" w:rsidP="009E2127">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All Non-Banking Financial Companies</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9E2127" w:rsidRPr="00470480" w:rsidRDefault="009E2127" w:rsidP="009E2127">
      <w:pPr>
        <w:pStyle w:val="head"/>
        <w:jc w:val="center"/>
        <w:rPr>
          <w:rFonts w:ascii="Arial" w:hAnsi="Arial" w:cs="Arial"/>
          <w:b/>
          <w:bCs/>
          <w:color w:val="000000"/>
          <w:sz w:val="20"/>
          <w:szCs w:val="20"/>
        </w:rPr>
      </w:pPr>
      <w:r w:rsidRPr="00470480">
        <w:rPr>
          <w:rFonts w:ascii="Arial" w:hAnsi="Arial" w:cs="Arial"/>
          <w:b/>
          <w:bCs/>
          <w:color w:val="000000"/>
          <w:sz w:val="20"/>
          <w:szCs w:val="20"/>
        </w:rPr>
        <w:t>Compliance Function and Role of Chief Compliance Officer (CCO) - NBFCs</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Please refer to the Reserve Bank’s guidelines on ‘Scale Based Regulation (SBR): A Revised Regulatory Framework for NBFCs’ issued vide </w:t>
      </w:r>
      <w:hyperlink r:id="rId136" w:tgtFrame="_blank" w:history="1">
        <w:r w:rsidRPr="00470480">
          <w:rPr>
            <w:rStyle w:val="Hyperlink"/>
            <w:rFonts w:ascii="Arial" w:hAnsi="Arial" w:cs="Arial"/>
            <w:sz w:val="20"/>
            <w:szCs w:val="20"/>
          </w:rPr>
          <w:t xml:space="preserve">Circular </w:t>
        </w:r>
        <w:proofErr w:type="spellStart"/>
        <w:r w:rsidRPr="00470480">
          <w:rPr>
            <w:rStyle w:val="Hyperlink"/>
            <w:rFonts w:ascii="Arial" w:hAnsi="Arial" w:cs="Arial"/>
            <w:sz w:val="20"/>
            <w:szCs w:val="20"/>
          </w:rPr>
          <w:t>Ref.DOR.CRE</w:t>
        </w:r>
        <w:proofErr w:type="spellEnd"/>
        <w:r w:rsidRPr="00470480">
          <w:rPr>
            <w:rStyle w:val="Hyperlink"/>
            <w:rFonts w:ascii="Arial" w:hAnsi="Arial" w:cs="Arial"/>
            <w:sz w:val="20"/>
            <w:szCs w:val="20"/>
          </w:rPr>
          <w:t>. REC.No.60/03.10.001/2021-22 dated October 22, 2021</w:t>
        </w:r>
      </w:hyperlink>
      <w:hyperlink r:id="rId137"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As indicated therein, Non-Banking Financial Companies in the Upper Layer (NBFC-UL) and Middle Layer (NBFC-ML) would be required, inter alia, to have an independent Compliance Function and a Chief Compliance Officer (CCO). Accordingly, this Circular shall be applicable to all NBFC-UL and NBFC-ML. NBFCs in the Base Layer (NBFC-BL) shall continue to be governed under the existing guidelines</w:t>
      </w:r>
      <w:hyperlink r:id="rId138" w:anchor="F2" w:history="1">
        <w:r w:rsidRPr="00470480">
          <w:rPr>
            <w:rStyle w:val="Hyperlink"/>
            <w:rFonts w:ascii="Arial" w:hAnsi="Arial" w:cs="Arial"/>
            <w:sz w:val="20"/>
            <w:szCs w:val="20"/>
            <w:vertAlign w:val="superscript"/>
          </w:rPr>
          <w:t>2</w:t>
        </w:r>
      </w:hyperlink>
      <w:r w:rsidRPr="00470480">
        <w:rPr>
          <w:rFonts w:ascii="Arial" w:hAnsi="Arial" w:cs="Arial"/>
          <w:color w:val="000000"/>
          <w:sz w:val="20"/>
          <w:szCs w:val="20"/>
        </w:rPr>
        <w:t>.</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2. As part of the overall structure for Corporate Governance, Compliance Function serves a critical role. Accordingly, it has been decided to introduce certain principles, standards and procedures for Compliance Function in NBFC-UL and NBFC-ML, keeping in view the principles of proportionality.</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3. NBFC-UL and NBFC-ML shall put in place a Board approved policy and a Compliance Function, including the appointment of a Chief Compliance Officer (CCO), based on the Framework given in the </w:t>
      </w:r>
      <w:hyperlink r:id="rId139" w:anchor="AN1" w:history="1">
        <w:r w:rsidRPr="00470480">
          <w:rPr>
            <w:rStyle w:val="Hyperlink"/>
            <w:rFonts w:ascii="Arial" w:hAnsi="Arial" w:cs="Arial"/>
            <w:sz w:val="20"/>
            <w:szCs w:val="20"/>
          </w:rPr>
          <w:t>Annex</w:t>
        </w:r>
      </w:hyperlink>
      <w:r w:rsidRPr="00470480">
        <w:rPr>
          <w:rFonts w:ascii="Arial" w:hAnsi="Arial" w:cs="Arial"/>
          <w:color w:val="000000"/>
          <w:sz w:val="20"/>
          <w:szCs w:val="20"/>
        </w:rPr>
        <w:t>, latest by April 1, 2023 and October 1, 2023, respectively.</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4. This Circular shall be placed in the immediate next meeting of the Board of Directors for information and devising an implementation strategy, under the Board’s supervision, in a time-bound manner.</w:t>
      </w:r>
    </w:p>
    <w:p w:rsidR="009E2127" w:rsidRPr="00470480" w:rsidRDefault="009E2127" w:rsidP="009E212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9E2127" w:rsidRPr="00470480" w:rsidRDefault="009E2127" w:rsidP="009E2127">
      <w:pPr>
        <w:pStyle w:val="NormalWeb"/>
        <w:rPr>
          <w:rFonts w:ascii="Arial" w:hAnsi="Arial" w:cs="Arial"/>
          <w:color w:val="000000"/>
          <w:sz w:val="20"/>
          <w:szCs w:val="20"/>
        </w:rPr>
      </w:pPr>
      <w:r w:rsidRPr="00470480">
        <w:rPr>
          <w:rFonts w:ascii="Arial" w:hAnsi="Arial" w:cs="Arial"/>
          <w:color w:val="000000"/>
          <w:sz w:val="20"/>
          <w:szCs w:val="20"/>
        </w:rPr>
        <w:t>(Arnab Kumar Chowdhury)</w:t>
      </w:r>
      <w:r w:rsidRPr="00470480">
        <w:rPr>
          <w:rFonts w:ascii="Arial" w:hAnsi="Arial" w:cs="Arial"/>
          <w:color w:val="000000"/>
          <w:sz w:val="20"/>
          <w:szCs w:val="20"/>
        </w:rPr>
        <w:br/>
        <w:t>Chief General Manager-In-Charge</w:t>
      </w:r>
    </w:p>
    <w:p w:rsidR="009E2127" w:rsidRPr="00470480" w:rsidRDefault="009E2127" w:rsidP="009E2127">
      <w:pPr>
        <w:pStyle w:val="head"/>
        <w:jc w:val="both"/>
        <w:rPr>
          <w:rFonts w:ascii="Arial" w:hAnsi="Arial" w:cs="Arial"/>
          <w:b/>
          <w:bCs/>
          <w:color w:val="000000"/>
          <w:sz w:val="20"/>
          <w:szCs w:val="20"/>
        </w:rPr>
      </w:pPr>
      <w:r w:rsidRPr="00470480">
        <w:rPr>
          <w:rFonts w:ascii="Arial" w:hAnsi="Arial" w:cs="Arial"/>
          <w:b/>
          <w:bCs/>
          <w:color w:val="000000"/>
          <w:sz w:val="20"/>
          <w:szCs w:val="20"/>
        </w:rPr>
        <w:t>Encl.: Annex</w:t>
      </w:r>
    </w:p>
    <w:p w:rsidR="009E2127" w:rsidRPr="00470480" w:rsidRDefault="009E2127" w:rsidP="009E2127">
      <w:pPr>
        <w:pStyle w:val="NormalWeb"/>
        <w:rPr>
          <w:rFonts w:ascii="Arial" w:hAnsi="Arial" w:cs="Arial"/>
          <w:color w:val="000000"/>
          <w:sz w:val="20"/>
          <w:szCs w:val="20"/>
        </w:rPr>
      </w:pPr>
    </w:p>
    <w:p w:rsidR="009E2127" w:rsidRPr="00470480" w:rsidRDefault="009E2127"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140" w:history="1">
        <w:r w:rsidRPr="00470480">
          <w:rPr>
            <w:rStyle w:val="Hyperlink"/>
            <w:rFonts w:ascii="Arial" w:hAnsi="Arial" w:cs="Arial"/>
            <w:sz w:val="20"/>
            <w:szCs w:val="20"/>
          </w:rPr>
          <w:t>https://www.rbi.org.in/Scripts/NotificationUser.aspx?Id=12290&amp;Mode=0</w:t>
        </w:r>
      </w:hyperlink>
    </w:p>
    <w:p w:rsidR="009E2127" w:rsidRPr="00470480" w:rsidRDefault="009E2127" w:rsidP="00BE4BD6">
      <w:pPr>
        <w:spacing w:after="0"/>
        <w:jc w:val="both"/>
        <w:rPr>
          <w:rFonts w:ascii="Arial" w:hAnsi="Arial" w:cs="Arial"/>
          <w:sz w:val="20"/>
          <w:szCs w:val="20"/>
        </w:rPr>
      </w:pPr>
    </w:p>
    <w:p w:rsidR="00823298" w:rsidRPr="00470480" w:rsidRDefault="00823298" w:rsidP="00BE4BD6">
      <w:pPr>
        <w:spacing w:after="0"/>
        <w:jc w:val="both"/>
        <w:rPr>
          <w:rFonts w:ascii="Arial" w:hAnsi="Arial" w:cs="Arial"/>
          <w:sz w:val="20"/>
          <w:szCs w:val="20"/>
        </w:rPr>
      </w:pPr>
    </w:p>
    <w:p w:rsidR="00823298" w:rsidRPr="00470480" w:rsidRDefault="00823298" w:rsidP="00BE4BD6">
      <w:pPr>
        <w:spacing w:after="0"/>
        <w:jc w:val="both"/>
        <w:rPr>
          <w:rFonts w:ascii="Arial" w:hAnsi="Arial" w:cs="Arial"/>
          <w:sz w:val="20"/>
          <w:szCs w:val="20"/>
        </w:rPr>
      </w:pPr>
    </w:p>
    <w:p w:rsidR="00823298" w:rsidRPr="00470480" w:rsidRDefault="00823298" w:rsidP="00BE4BD6">
      <w:pPr>
        <w:spacing w:after="0"/>
        <w:jc w:val="both"/>
        <w:rPr>
          <w:rFonts w:ascii="Arial" w:hAnsi="Arial" w:cs="Arial"/>
          <w:sz w:val="20"/>
          <w:szCs w:val="20"/>
        </w:rPr>
      </w:pPr>
    </w:p>
    <w:p w:rsidR="00823298" w:rsidRPr="00470480" w:rsidRDefault="00823298" w:rsidP="00BE4BD6">
      <w:pPr>
        <w:spacing w:after="0"/>
        <w:jc w:val="both"/>
        <w:rPr>
          <w:rFonts w:ascii="Arial" w:hAnsi="Arial" w:cs="Arial"/>
          <w:sz w:val="20"/>
          <w:szCs w:val="20"/>
        </w:rPr>
      </w:pPr>
    </w:p>
    <w:p w:rsidR="00823298" w:rsidRPr="00470480" w:rsidRDefault="00823298" w:rsidP="00BE4BD6">
      <w:pPr>
        <w:spacing w:after="0"/>
        <w:jc w:val="both"/>
        <w:rPr>
          <w:rFonts w:ascii="Arial" w:hAnsi="Arial" w:cs="Arial"/>
          <w:sz w:val="20"/>
          <w:szCs w:val="20"/>
        </w:rPr>
      </w:pPr>
    </w:p>
    <w:p w:rsidR="00823298" w:rsidRPr="00470480" w:rsidRDefault="00823298" w:rsidP="00BE4BD6">
      <w:pPr>
        <w:spacing w:after="0"/>
        <w:jc w:val="both"/>
        <w:rPr>
          <w:rFonts w:ascii="Arial" w:hAnsi="Arial" w:cs="Arial"/>
          <w:sz w:val="20"/>
          <w:szCs w:val="20"/>
        </w:rPr>
      </w:pPr>
    </w:p>
    <w:p w:rsidR="00823298" w:rsidRPr="00470480" w:rsidRDefault="00823298" w:rsidP="00BE4BD6">
      <w:pPr>
        <w:spacing w:after="0"/>
        <w:jc w:val="both"/>
        <w:rPr>
          <w:rFonts w:ascii="Arial" w:hAnsi="Arial" w:cs="Arial"/>
          <w:sz w:val="20"/>
          <w:szCs w:val="20"/>
        </w:rPr>
      </w:pPr>
    </w:p>
    <w:p w:rsidR="00823298" w:rsidRPr="00470480" w:rsidRDefault="00823298" w:rsidP="00BE4BD6">
      <w:pPr>
        <w:spacing w:after="0"/>
        <w:jc w:val="both"/>
        <w:rPr>
          <w:rFonts w:ascii="Arial" w:hAnsi="Arial" w:cs="Arial"/>
          <w:sz w:val="20"/>
          <w:szCs w:val="20"/>
        </w:rPr>
      </w:pPr>
    </w:p>
    <w:p w:rsidR="00823298" w:rsidRPr="00470480" w:rsidRDefault="00823298" w:rsidP="00BE4BD6">
      <w:pPr>
        <w:spacing w:after="0"/>
        <w:jc w:val="both"/>
        <w:rPr>
          <w:rFonts w:ascii="Arial" w:hAnsi="Arial" w:cs="Arial"/>
          <w:sz w:val="20"/>
          <w:szCs w:val="20"/>
        </w:rPr>
      </w:pPr>
    </w:p>
    <w:p w:rsidR="00823298" w:rsidRPr="00470480" w:rsidRDefault="00823298" w:rsidP="00BE4BD6">
      <w:pPr>
        <w:spacing w:after="0"/>
        <w:jc w:val="both"/>
        <w:rPr>
          <w:rFonts w:ascii="Arial" w:hAnsi="Arial" w:cs="Arial"/>
          <w:sz w:val="20"/>
          <w:szCs w:val="20"/>
        </w:rPr>
      </w:pPr>
    </w:p>
    <w:p w:rsidR="00536CF8" w:rsidRDefault="00536CF8" w:rsidP="00BE4BD6">
      <w:pPr>
        <w:spacing w:after="0"/>
        <w:jc w:val="both"/>
        <w:rPr>
          <w:rFonts w:ascii="Arial" w:hAnsi="Arial" w:cs="Arial"/>
          <w:b/>
          <w:bCs/>
          <w:color w:val="000000"/>
          <w:sz w:val="20"/>
          <w:szCs w:val="20"/>
        </w:rPr>
      </w:pPr>
    </w:p>
    <w:p w:rsidR="00311876" w:rsidRDefault="00311876" w:rsidP="00BE4BD6">
      <w:pPr>
        <w:spacing w:after="0"/>
        <w:jc w:val="both"/>
        <w:rPr>
          <w:rFonts w:ascii="Arial" w:hAnsi="Arial" w:cs="Arial"/>
          <w:b/>
          <w:bCs/>
          <w:color w:val="000000"/>
          <w:sz w:val="20"/>
          <w:szCs w:val="20"/>
        </w:rPr>
      </w:pPr>
      <w:r>
        <w:rPr>
          <w:rFonts w:ascii="Arial" w:hAnsi="Arial" w:cs="Arial"/>
          <w:b/>
          <w:bCs/>
          <w:color w:val="000000"/>
          <w:sz w:val="20"/>
          <w:szCs w:val="20"/>
        </w:rPr>
        <w:lastRenderedPageBreak/>
        <w:t>Section 24 and Section 56 of the Banking Regulation Act, 1949 – Maintenance of Statutory Liquidity Ratio (SLR)</w:t>
      </w:r>
      <w:r w:rsidRPr="00470480">
        <w:rPr>
          <w:rFonts w:ascii="Arial" w:hAnsi="Arial" w:cs="Arial"/>
          <w:b/>
          <w:bCs/>
          <w:color w:val="000000"/>
          <w:sz w:val="20"/>
          <w:szCs w:val="20"/>
        </w:rPr>
        <w:t xml:space="preserve"> </w:t>
      </w:r>
    </w:p>
    <w:p w:rsidR="00311876" w:rsidRDefault="00311876" w:rsidP="00BE4BD6">
      <w:pPr>
        <w:spacing w:after="0"/>
        <w:jc w:val="both"/>
        <w:rPr>
          <w:rFonts w:ascii="Arial" w:hAnsi="Arial" w:cs="Arial"/>
          <w:b/>
          <w:bCs/>
          <w:color w:val="000000"/>
          <w:sz w:val="20"/>
          <w:szCs w:val="20"/>
        </w:rPr>
      </w:pPr>
    </w:p>
    <w:p w:rsidR="00311876" w:rsidRDefault="00311876" w:rsidP="00BE4BD6">
      <w:pPr>
        <w:spacing w:after="0"/>
        <w:jc w:val="both"/>
        <w:rPr>
          <w:rFonts w:ascii="Arial" w:hAnsi="Arial" w:cs="Arial"/>
          <w:b/>
          <w:bCs/>
          <w:color w:val="000000"/>
          <w:sz w:val="20"/>
          <w:szCs w:val="20"/>
        </w:rPr>
      </w:pPr>
    </w:p>
    <w:p w:rsidR="00311876" w:rsidRDefault="00311876" w:rsidP="00311876">
      <w:pPr>
        <w:pStyle w:val="NormalWeb"/>
        <w:jc w:val="both"/>
        <w:rPr>
          <w:rFonts w:ascii="Arial" w:hAnsi="Arial" w:cs="Arial"/>
          <w:color w:val="000000"/>
          <w:sz w:val="20"/>
          <w:szCs w:val="20"/>
        </w:rPr>
      </w:pPr>
      <w:r>
        <w:rPr>
          <w:rFonts w:ascii="Arial" w:hAnsi="Arial" w:cs="Arial"/>
          <w:color w:val="000000"/>
          <w:sz w:val="20"/>
          <w:szCs w:val="20"/>
        </w:rPr>
        <w:t>RBI/2022-23/23</w:t>
      </w:r>
      <w:r>
        <w:rPr>
          <w:rFonts w:ascii="Arial" w:hAnsi="Arial" w:cs="Arial"/>
          <w:color w:val="000000"/>
          <w:sz w:val="20"/>
          <w:szCs w:val="20"/>
        </w:rPr>
        <w:br/>
        <w:t>DOR.RET.REC.15/12.01.001/2022-23</w:t>
      </w:r>
    </w:p>
    <w:p w:rsidR="00311876" w:rsidRDefault="00311876" w:rsidP="00311876">
      <w:pPr>
        <w:pStyle w:val="NormalWeb"/>
        <w:jc w:val="right"/>
        <w:rPr>
          <w:rFonts w:ascii="Arial" w:hAnsi="Arial" w:cs="Arial"/>
          <w:color w:val="000000"/>
          <w:sz w:val="20"/>
          <w:szCs w:val="20"/>
        </w:rPr>
      </w:pPr>
      <w:r>
        <w:rPr>
          <w:rFonts w:ascii="Arial" w:hAnsi="Arial" w:cs="Arial"/>
          <w:color w:val="000000"/>
          <w:sz w:val="20"/>
          <w:szCs w:val="20"/>
        </w:rPr>
        <w:t>April 08, 2022</w:t>
      </w:r>
    </w:p>
    <w:p w:rsidR="00311876" w:rsidRDefault="00311876" w:rsidP="00311876">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 (UCBs)</w:t>
      </w:r>
      <w:r>
        <w:rPr>
          <w:rFonts w:ascii="Arial" w:hAnsi="Arial" w:cs="Arial"/>
          <w:color w:val="000000"/>
          <w:sz w:val="20"/>
          <w:szCs w:val="20"/>
        </w:rPr>
        <w:br/>
        <w:t>State and Central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 xml:space="preserve"> / CCBs)</w:t>
      </w:r>
    </w:p>
    <w:p w:rsidR="00311876" w:rsidRDefault="00311876" w:rsidP="00311876">
      <w:pPr>
        <w:pStyle w:val="NormalWeb"/>
        <w:jc w:val="both"/>
        <w:rPr>
          <w:rFonts w:ascii="Arial" w:hAnsi="Arial" w:cs="Arial"/>
          <w:color w:val="000000"/>
          <w:sz w:val="20"/>
          <w:szCs w:val="20"/>
        </w:rPr>
      </w:pPr>
      <w:r>
        <w:rPr>
          <w:rFonts w:ascii="Arial" w:hAnsi="Arial" w:cs="Arial"/>
          <w:color w:val="000000"/>
          <w:sz w:val="20"/>
          <w:szCs w:val="20"/>
        </w:rPr>
        <w:t>Madam/Sir,</w:t>
      </w:r>
    </w:p>
    <w:p w:rsidR="00311876" w:rsidRDefault="00311876" w:rsidP="00311876">
      <w:pPr>
        <w:pStyle w:val="head"/>
        <w:jc w:val="center"/>
        <w:rPr>
          <w:rFonts w:ascii="Arial" w:hAnsi="Arial" w:cs="Arial"/>
          <w:b/>
          <w:bCs/>
          <w:color w:val="000000"/>
          <w:sz w:val="20"/>
          <w:szCs w:val="20"/>
        </w:rPr>
      </w:pPr>
      <w:r>
        <w:rPr>
          <w:rFonts w:ascii="Arial" w:hAnsi="Arial" w:cs="Arial"/>
          <w:b/>
          <w:bCs/>
          <w:color w:val="000000"/>
          <w:sz w:val="20"/>
          <w:szCs w:val="20"/>
        </w:rPr>
        <w:t>Section 24 and Section 56 of the Banking Regulation Act, 1949 –</w:t>
      </w:r>
      <w:r>
        <w:rPr>
          <w:rFonts w:ascii="Arial" w:hAnsi="Arial" w:cs="Arial"/>
          <w:b/>
          <w:bCs/>
          <w:color w:val="000000"/>
          <w:sz w:val="20"/>
          <w:szCs w:val="20"/>
        </w:rPr>
        <w:br/>
        <w:t>Maintenance of Statutory Liquidity Ratio (SLR)</w:t>
      </w:r>
    </w:p>
    <w:p w:rsidR="00311876" w:rsidRDefault="00311876" w:rsidP="00311876">
      <w:pPr>
        <w:pStyle w:val="NormalWeb"/>
        <w:jc w:val="both"/>
        <w:rPr>
          <w:rFonts w:ascii="Arial" w:hAnsi="Arial" w:cs="Arial"/>
          <w:color w:val="000000"/>
          <w:sz w:val="20"/>
          <w:szCs w:val="20"/>
        </w:rPr>
      </w:pPr>
      <w:r>
        <w:rPr>
          <w:rFonts w:ascii="Arial" w:hAnsi="Arial" w:cs="Arial"/>
          <w:color w:val="000000"/>
          <w:sz w:val="20"/>
          <w:szCs w:val="20"/>
        </w:rPr>
        <w:t>Please refer to </w:t>
      </w:r>
      <w:hyperlink r:id="rId141" w:tgtFrame="_blank" w:history="1">
        <w:r>
          <w:rPr>
            <w:rStyle w:val="Hyperlink"/>
            <w:rFonts w:ascii="Arial" w:hAnsi="Arial" w:cs="Arial"/>
            <w:sz w:val="20"/>
            <w:szCs w:val="20"/>
          </w:rPr>
          <w:t>circular DBR.No.Ret.BC.10/12.02.001/2018-19 dated December 05, 2018</w:t>
        </w:r>
      </w:hyperlink>
      <w:r>
        <w:rPr>
          <w:rFonts w:ascii="Arial" w:hAnsi="Arial" w:cs="Arial"/>
          <w:color w:val="000000"/>
          <w:sz w:val="20"/>
          <w:szCs w:val="20"/>
        </w:rPr>
        <w:t> and relative notification on the captioned subject.</w:t>
      </w:r>
    </w:p>
    <w:p w:rsidR="00311876" w:rsidRDefault="00311876" w:rsidP="00311876">
      <w:pPr>
        <w:pStyle w:val="NormalWeb"/>
        <w:jc w:val="both"/>
        <w:rPr>
          <w:rFonts w:ascii="Arial" w:hAnsi="Arial" w:cs="Arial"/>
          <w:color w:val="000000"/>
          <w:sz w:val="20"/>
          <w:szCs w:val="20"/>
        </w:rPr>
      </w:pPr>
      <w:r>
        <w:rPr>
          <w:rFonts w:ascii="Arial" w:hAnsi="Arial" w:cs="Arial"/>
          <w:color w:val="000000"/>
          <w:sz w:val="20"/>
          <w:szCs w:val="20"/>
        </w:rPr>
        <w:t>2. As announced in the</w:t>
      </w:r>
      <w:hyperlink r:id="rId142" w:tgtFrame="_blank" w:history="1">
        <w:r>
          <w:rPr>
            <w:rStyle w:val="Hyperlink"/>
            <w:rFonts w:ascii="Arial" w:hAnsi="Arial" w:cs="Arial"/>
            <w:sz w:val="20"/>
            <w:szCs w:val="20"/>
          </w:rPr>
          <w:t> Statement on Developmental and Regulatory Policies on April 08, 2022</w:t>
        </w:r>
      </w:hyperlink>
      <w:r>
        <w:rPr>
          <w:rFonts w:ascii="Arial" w:hAnsi="Arial" w:cs="Arial"/>
          <w:color w:val="000000"/>
          <w:sz w:val="20"/>
          <w:szCs w:val="20"/>
        </w:rPr>
        <w:t>, it has been decided to institute the Standing Deposit Facility (SDF) with immediate effect. Accordingly, it is decided that the balances held by banks with the RBI under the SDF shall be an eligible Statutory Liquidity Ratio (SLR) asset and such balances shall form part of “Cash” for SLR maintenance. Banks shall report the SDF balances under "Cash in hand" in Form VIII or Form I, as applicable.</w:t>
      </w:r>
    </w:p>
    <w:p w:rsidR="00311876" w:rsidRDefault="00311876" w:rsidP="00311876">
      <w:pPr>
        <w:pStyle w:val="NormalWeb"/>
        <w:jc w:val="both"/>
        <w:rPr>
          <w:rFonts w:ascii="Arial" w:hAnsi="Arial" w:cs="Arial"/>
          <w:color w:val="000000"/>
          <w:sz w:val="20"/>
          <w:szCs w:val="20"/>
        </w:rPr>
      </w:pPr>
      <w:r>
        <w:rPr>
          <w:rFonts w:ascii="Arial" w:hAnsi="Arial" w:cs="Arial"/>
          <w:color w:val="000000"/>
          <w:sz w:val="20"/>
          <w:szCs w:val="20"/>
        </w:rPr>
        <w:t>3. The balances held by banks with RBI under the SDF shall not be eligible for Cash Reserve Ratio (CRR) maintenance.</w:t>
      </w:r>
    </w:p>
    <w:p w:rsidR="00311876" w:rsidRDefault="00311876" w:rsidP="00311876">
      <w:pPr>
        <w:pStyle w:val="NormalWeb"/>
        <w:jc w:val="both"/>
        <w:rPr>
          <w:rFonts w:ascii="Arial" w:hAnsi="Arial" w:cs="Arial"/>
          <w:color w:val="000000"/>
          <w:sz w:val="20"/>
          <w:szCs w:val="20"/>
        </w:rPr>
      </w:pPr>
      <w:r>
        <w:rPr>
          <w:rFonts w:ascii="Arial" w:hAnsi="Arial" w:cs="Arial"/>
          <w:color w:val="000000"/>
          <w:sz w:val="20"/>
          <w:szCs w:val="20"/>
        </w:rPr>
        <w:t>4. A copy of the relative notification DOR.RET.REC.16/12.01.001/2022-23 dated April 08, 2022, is </w:t>
      </w:r>
      <w:hyperlink r:id="rId143" w:anchor="AN1" w:history="1">
        <w:r>
          <w:rPr>
            <w:rStyle w:val="Hyperlink"/>
            <w:rFonts w:ascii="Arial" w:hAnsi="Arial" w:cs="Arial"/>
            <w:sz w:val="20"/>
            <w:szCs w:val="20"/>
          </w:rPr>
          <w:t>enclosed</w:t>
        </w:r>
      </w:hyperlink>
      <w:r>
        <w:rPr>
          <w:rFonts w:ascii="Arial" w:hAnsi="Arial" w:cs="Arial"/>
          <w:color w:val="000000"/>
          <w:sz w:val="20"/>
          <w:szCs w:val="20"/>
        </w:rPr>
        <w:t>.</w:t>
      </w:r>
    </w:p>
    <w:p w:rsidR="00311876" w:rsidRDefault="00311876" w:rsidP="00311876">
      <w:pPr>
        <w:pStyle w:val="NormalWeb"/>
        <w:jc w:val="both"/>
        <w:rPr>
          <w:rFonts w:ascii="Arial" w:hAnsi="Arial" w:cs="Arial"/>
          <w:color w:val="000000"/>
          <w:sz w:val="20"/>
          <w:szCs w:val="20"/>
        </w:rPr>
      </w:pPr>
      <w:r>
        <w:rPr>
          <w:rFonts w:ascii="Arial" w:hAnsi="Arial" w:cs="Arial"/>
          <w:color w:val="000000"/>
          <w:sz w:val="20"/>
          <w:szCs w:val="20"/>
        </w:rPr>
        <w:t>Yours faithfully,</w:t>
      </w:r>
    </w:p>
    <w:p w:rsidR="00311876" w:rsidRDefault="00311876" w:rsidP="00311876">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5F6218" w:rsidRDefault="005F6218" w:rsidP="00311876">
      <w:pPr>
        <w:pStyle w:val="NormalWeb"/>
        <w:jc w:val="both"/>
        <w:rPr>
          <w:rFonts w:ascii="Arial" w:hAnsi="Arial" w:cs="Arial"/>
          <w:color w:val="000000"/>
          <w:sz w:val="20"/>
          <w:szCs w:val="20"/>
        </w:rPr>
      </w:pPr>
    </w:p>
    <w:p w:rsidR="00311876" w:rsidRDefault="005F6218" w:rsidP="00311876">
      <w:pPr>
        <w:pStyle w:val="NormalWeb"/>
        <w:jc w:val="both"/>
        <w:rPr>
          <w:rFonts w:ascii="Arial" w:hAnsi="Arial" w:cs="Arial"/>
          <w:color w:val="000000"/>
          <w:sz w:val="20"/>
          <w:szCs w:val="20"/>
        </w:rPr>
      </w:pPr>
      <w:r>
        <w:rPr>
          <w:rFonts w:ascii="Arial" w:hAnsi="Arial" w:cs="Arial"/>
          <w:color w:val="000000"/>
          <w:sz w:val="20"/>
          <w:szCs w:val="20"/>
        </w:rPr>
        <w:t>For detailed notification, refer to the link below.</w:t>
      </w:r>
    </w:p>
    <w:p w:rsidR="00311876" w:rsidRDefault="00311876" w:rsidP="00BE4BD6">
      <w:pPr>
        <w:spacing w:after="0"/>
        <w:jc w:val="both"/>
        <w:rPr>
          <w:rFonts w:ascii="Arial" w:hAnsi="Arial" w:cs="Arial"/>
          <w:bCs/>
          <w:color w:val="000000"/>
          <w:sz w:val="20"/>
          <w:szCs w:val="20"/>
        </w:rPr>
      </w:pPr>
      <w:r w:rsidRPr="00311876">
        <w:rPr>
          <w:rFonts w:ascii="Arial" w:hAnsi="Arial" w:cs="Arial"/>
          <w:bCs/>
          <w:color w:val="000000"/>
          <w:sz w:val="20"/>
          <w:szCs w:val="20"/>
        </w:rPr>
        <w:t xml:space="preserve">Reference Link: </w:t>
      </w:r>
      <w:hyperlink r:id="rId144" w:history="1">
        <w:r w:rsidRPr="00321241">
          <w:rPr>
            <w:rStyle w:val="Hyperlink"/>
            <w:rFonts w:ascii="Arial" w:hAnsi="Arial" w:cs="Arial"/>
            <w:bCs/>
            <w:sz w:val="20"/>
            <w:szCs w:val="20"/>
          </w:rPr>
          <w:t>https://www.rbi.org.in/Scripts/NotificationUser.aspx?Id=12289&amp;Mode=0</w:t>
        </w:r>
      </w:hyperlink>
    </w:p>
    <w:p w:rsidR="00311876" w:rsidRPr="00311876" w:rsidRDefault="00311876" w:rsidP="00BE4BD6">
      <w:pPr>
        <w:spacing w:after="0"/>
        <w:jc w:val="both"/>
        <w:rPr>
          <w:rFonts w:ascii="Arial" w:hAnsi="Arial" w:cs="Arial"/>
          <w:bCs/>
          <w:color w:val="000000"/>
          <w:sz w:val="20"/>
          <w:szCs w:val="20"/>
        </w:rPr>
      </w:pPr>
    </w:p>
    <w:p w:rsidR="00311876" w:rsidRDefault="00311876" w:rsidP="00BE4BD6">
      <w:pPr>
        <w:spacing w:after="0"/>
        <w:jc w:val="both"/>
        <w:rPr>
          <w:rFonts w:ascii="Arial" w:hAnsi="Arial" w:cs="Arial"/>
          <w:b/>
          <w:bCs/>
          <w:color w:val="000000"/>
          <w:sz w:val="20"/>
          <w:szCs w:val="20"/>
        </w:rPr>
      </w:pPr>
    </w:p>
    <w:p w:rsidR="00311876" w:rsidRDefault="00311876" w:rsidP="00BE4BD6">
      <w:pPr>
        <w:spacing w:after="0"/>
        <w:jc w:val="both"/>
        <w:rPr>
          <w:rFonts w:ascii="Arial" w:hAnsi="Arial" w:cs="Arial"/>
          <w:b/>
          <w:bCs/>
          <w:color w:val="000000"/>
          <w:sz w:val="20"/>
          <w:szCs w:val="20"/>
        </w:rPr>
      </w:pPr>
    </w:p>
    <w:p w:rsidR="00311876" w:rsidRDefault="00311876" w:rsidP="00BE4BD6">
      <w:pPr>
        <w:spacing w:after="0"/>
        <w:jc w:val="both"/>
        <w:rPr>
          <w:rFonts w:ascii="Arial" w:hAnsi="Arial" w:cs="Arial"/>
          <w:b/>
          <w:bCs/>
          <w:color w:val="000000"/>
          <w:sz w:val="20"/>
          <w:szCs w:val="20"/>
        </w:rPr>
      </w:pPr>
    </w:p>
    <w:p w:rsidR="00311876" w:rsidRDefault="00311876" w:rsidP="00BE4BD6">
      <w:pPr>
        <w:spacing w:after="0"/>
        <w:jc w:val="both"/>
        <w:rPr>
          <w:rFonts w:ascii="Arial" w:hAnsi="Arial" w:cs="Arial"/>
          <w:b/>
          <w:bCs/>
          <w:color w:val="000000"/>
          <w:sz w:val="20"/>
          <w:szCs w:val="20"/>
        </w:rPr>
      </w:pPr>
    </w:p>
    <w:p w:rsidR="00311876" w:rsidRDefault="00311876" w:rsidP="00BE4BD6">
      <w:pPr>
        <w:spacing w:after="0"/>
        <w:jc w:val="both"/>
        <w:rPr>
          <w:rFonts w:ascii="Arial" w:hAnsi="Arial" w:cs="Arial"/>
          <w:b/>
          <w:bCs/>
          <w:color w:val="000000"/>
          <w:sz w:val="20"/>
          <w:szCs w:val="20"/>
        </w:rPr>
      </w:pPr>
    </w:p>
    <w:p w:rsidR="00311876" w:rsidRDefault="00311876" w:rsidP="00BE4BD6">
      <w:pPr>
        <w:spacing w:after="0"/>
        <w:jc w:val="both"/>
        <w:rPr>
          <w:rFonts w:ascii="Arial" w:hAnsi="Arial" w:cs="Arial"/>
          <w:b/>
          <w:bCs/>
          <w:color w:val="000000"/>
          <w:sz w:val="20"/>
          <w:szCs w:val="20"/>
        </w:rPr>
      </w:pPr>
    </w:p>
    <w:p w:rsidR="00311876" w:rsidRDefault="00311876" w:rsidP="00BE4BD6">
      <w:pPr>
        <w:spacing w:after="0"/>
        <w:jc w:val="both"/>
        <w:rPr>
          <w:rFonts w:ascii="Arial" w:hAnsi="Arial" w:cs="Arial"/>
          <w:b/>
          <w:bCs/>
          <w:color w:val="000000"/>
          <w:sz w:val="20"/>
          <w:szCs w:val="20"/>
        </w:rPr>
      </w:pPr>
    </w:p>
    <w:p w:rsidR="00311876" w:rsidRDefault="00311876" w:rsidP="00BE4BD6">
      <w:pPr>
        <w:spacing w:after="0"/>
        <w:jc w:val="both"/>
        <w:rPr>
          <w:rFonts w:ascii="Arial" w:hAnsi="Arial" w:cs="Arial"/>
          <w:b/>
          <w:bCs/>
          <w:color w:val="000000"/>
          <w:sz w:val="20"/>
          <w:szCs w:val="20"/>
        </w:rPr>
      </w:pPr>
    </w:p>
    <w:p w:rsidR="00311876" w:rsidRDefault="00311876" w:rsidP="00BE4BD6">
      <w:pPr>
        <w:spacing w:after="0"/>
        <w:jc w:val="both"/>
        <w:rPr>
          <w:rFonts w:ascii="Arial" w:hAnsi="Arial" w:cs="Arial"/>
          <w:b/>
          <w:bCs/>
          <w:color w:val="000000"/>
          <w:sz w:val="20"/>
          <w:szCs w:val="20"/>
        </w:rPr>
      </w:pPr>
    </w:p>
    <w:p w:rsidR="00311876" w:rsidRDefault="00311876" w:rsidP="00BE4BD6">
      <w:pPr>
        <w:spacing w:after="0"/>
        <w:jc w:val="both"/>
        <w:rPr>
          <w:rFonts w:ascii="Arial" w:hAnsi="Arial" w:cs="Arial"/>
          <w:b/>
          <w:bCs/>
          <w:color w:val="000000"/>
          <w:sz w:val="20"/>
          <w:szCs w:val="20"/>
        </w:rPr>
      </w:pPr>
    </w:p>
    <w:p w:rsidR="00823298" w:rsidRPr="00470480" w:rsidRDefault="00823298" w:rsidP="00BE4BD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Management of Advances – UCBs</w:t>
      </w:r>
    </w:p>
    <w:p w:rsidR="00823298" w:rsidRPr="00470480" w:rsidRDefault="00823298" w:rsidP="00BE4BD6">
      <w:pPr>
        <w:spacing w:after="0"/>
        <w:jc w:val="both"/>
        <w:rPr>
          <w:rFonts w:ascii="Arial" w:hAnsi="Arial" w:cs="Arial"/>
          <w:b/>
          <w:bCs/>
          <w:color w:val="000000"/>
          <w:sz w:val="20"/>
          <w:szCs w:val="20"/>
        </w:rPr>
      </w:pP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RBI/2022-23/22</w:t>
      </w:r>
      <w:r w:rsidRPr="00470480">
        <w:rPr>
          <w:rFonts w:ascii="Arial" w:hAnsi="Arial" w:cs="Arial"/>
          <w:color w:val="000000"/>
          <w:sz w:val="20"/>
          <w:szCs w:val="20"/>
        </w:rPr>
        <w:br/>
        <w:t>DOR.CRE.REC.No.17/13.05.000/2022-23</w:t>
      </w:r>
    </w:p>
    <w:p w:rsidR="00823298" w:rsidRPr="00470480" w:rsidRDefault="00823298" w:rsidP="00823298">
      <w:pPr>
        <w:pStyle w:val="NormalWeb"/>
        <w:jc w:val="right"/>
        <w:rPr>
          <w:rFonts w:ascii="Arial" w:hAnsi="Arial" w:cs="Arial"/>
          <w:color w:val="000000"/>
          <w:sz w:val="20"/>
          <w:szCs w:val="20"/>
        </w:rPr>
      </w:pPr>
      <w:r w:rsidRPr="00470480">
        <w:rPr>
          <w:rFonts w:ascii="Arial" w:hAnsi="Arial" w:cs="Arial"/>
          <w:color w:val="000000"/>
          <w:sz w:val="20"/>
          <w:szCs w:val="20"/>
        </w:rPr>
        <w:t>April 8, 2022</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823298" w:rsidRPr="00470480" w:rsidRDefault="00823298" w:rsidP="00823298">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Management of Advances - UCBs</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145" w:tgtFrame="_blank" w:history="1">
        <w:r w:rsidRPr="00470480">
          <w:rPr>
            <w:rStyle w:val="Hyperlink"/>
            <w:rFonts w:ascii="Arial" w:hAnsi="Arial" w:cs="Arial"/>
            <w:sz w:val="20"/>
            <w:szCs w:val="20"/>
          </w:rPr>
          <w:t>Master Circular DCBR.BPD.(PCB) MC No.14/13.05.000/2015-16 dated July 1, 2015</w:t>
        </w:r>
      </w:hyperlink>
      <w:r w:rsidRPr="00470480">
        <w:rPr>
          <w:rFonts w:ascii="Arial" w:hAnsi="Arial" w:cs="Arial"/>
          <w:color w:val="000000"/>
          <w:sz w:val="20"/>
          <w:szCs w:val="20"/>
        </w:rPr>
        <w:t> on the captioned subject. The enclosed </w:t>
      </w:r>
      <w:hyperlink r:id="rId146"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issued on the subject up to April 7, 2022 as listed in the </w:t>
      </w:r>
      <w:hyperlink r:id="rId147" w:anchor="AP" w:history="1">
        <w:r w:rsidRPr="00470480">
          <w:rPr>
            <w:rStyle w:val="Hyperlink"/>
            <w:rFonts w:ascii="Arial" w:hAnsi="Arial" w:cs="Arial"/>
            <w:sz w:val="20"/>
            <w:szCs w:val="20"/>
          </w:rPr>
          <w:t>Appendix</w:t>
        </w:r>
      </w:hyperlink>
      <w:r w:rsidRPr="00470480">
        <w:rPr>
          <w:rFonts w:ascii="Arial" w:hAnsi="Arial" w:cs="Arial"/>
          <w:color w:val="000000"/>
          <w:sz w:val="20"/>
          <w:szCs w:val="20"/>
        </w:rPr>
        <w:t>.</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23298" w:rsidRPr="00470480" w:rsidRDefault="00823298" w:rsidP="00823298">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823298" w:rsidRPr="00470480" w:rsidRDefault="00823298" w:rsidP="00823298">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823298" w:rsidRPr="00470480" w:rsidRDefault="00823298" w:rsidP="00823298">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on Management of Advances – UCBs</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49"/>
        <w:gridCol w:w="7460"/>
      </w:tblGrid>
      <w:tr w:rsidR="00823298" w:rsidRPr="00470480" w:rsidTr="00823298">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823298">
            <w:pPr>
              <w:jc w:val="center"/>
              <w:rPr>
                <w:rFonts w:ascii="Arial" w:hAnsi="Arial" w:cs="Arial"/>
                <w:color w:val="000000"/>
                <w:sz w:val="20"/>
                <w:szCs w:val="20"/>
              </w:rPr>
            </w:pPr>
            <w:r w:rsidRPr="00470480">
              <w:rPr>
                <w:rStyle w:val="head1"/>
                <w:rFonts w:ascii="Arial" w:hAnsi="Arial" w:cs="Arial"/>
                <w:b/>
                <w:bCs/>
                <w:color w:val="000000"/>
                <w:sz w:val="20"/>
                <w:szCs w:val="20"/>
              </w:rPr>
              <w:t>Contents</w:t>
            </w:r>
          </w:p>
        </w:tc>
      </w:tr>
      <w:tr w:rsidR="00823298" w:rsidRPr="00470480" w:rsidTr="00823298">
        <w:trPr>
          <w:jc w:val="center"/>
        </w:trPr>
        <w:tc>
          <w:tcPr>
            <w:tcW w:w="4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823298">
            <w:pPr>
              <w:jc w:val="center"/>
              <w:rPr>
                <w:rFonts w:ascii="Arial" w:hAnsi="Arial" w:cs="Arial"/>
                <w:color w:val="000000"/>
                <w:sz w:val="20"/>
                <w:szCs w:val="20"/>
              </w:rPr>
            </w:pPr>
            <w:proofErr w:type="spellStart"/>
            <w:r w:rsidRPr="00470480">
              <w:rPr>
                <w:rStyle w:val="head1"/>
                <w:rFonts w:ascii="Arial" w:hAnsi="Arial" w:cs="Arial"/>
                <w:b/>
                <w:bCs/>
                <w:color w:val="000000"/>
                <w:sz w:val="20"/>
                <w:szCs w:val="20"/>
              </w:rPr>
              <w:t>Sl</w:t>
            </w:r>
            <w:proofErr w:type="spellEnd"/>
            <w:r w:rsidRPr="00470480">
              <w:rPr>
                <w:rStyle w:val="head1"/>
                <w:rFonts w:ascii="Arial" w:hAnsi="Arial" w:cs="Arial"/>
                <w:b/>
                <w:bCs/>
                <w:color w:val="000000"/>
                <w:sz w:val="20"/>
                <w:szCs w:val="20"/>
              </w:rPr>
              <w:t xml:space="preserve"> No.</w:t>
            </w:r>
          </w:p>
        </w:tc>
        <w:tc>
          <w:tcPr>
            <w:tcW w:w="4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823298">
            <w:pPr>
              <w:jc w:val="center"/>
              <w:rPr>
                <w:rFonts w:ascii="Arial" w:hAnsi="Arial" w:cs="Arial"/>
                <w:color w:val="000000"/>
                <w:sz w:val="20"/>
                <w:szCs w:val="20"/>
              </w:rPr>
            </w:pPr>
            <w:r w:rsidRPr="00470480">
              <w:rPr>
                <w:rStyle w:val="head1"/>
                <w:rFonts w:ascii="Arial" w:hAnsi="Arial" w:cs="Arial"/>
                <w:b/>
                <w:bCs/>
                <w:color w:val="000000"/>
                <w:sz w:val="20"/>
                <w:szCs w:val="20"/>
              </w:rPr>
              <w:t>Particulars</w:t>
            </w:r>
          </w:p>
        </w:tc>
      </w:tr>
      <w:tr w:rsidR="00823298" w:rsidRPr="00470480" w:rsidTr="00823298">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823298">
            <w:pPr>
              <w:jc w:val="center"/>
              <w:rPr>
                <w:rFonts w:ascii="Arial" w:hAnsi="Arial" w:cs="Arial"/>
                <w:color w:val="000000"/>
                <w:sz w:val="20"/>
                <w:szCs w:val="20"/>
              </w:rPr>
            </w:pPr>
            <w:r w:rsidRPr="00470480">
              <w:rPr>
                <w:rFonts w:ascii="Arial" w:hAnsi="Arial" w:cs="Arial"/>
                <w:color w:val="000000"/>
                <w:sz w:val="20"/>
                <w:szCs w:val="20"/>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48" w:anchor="1" w:history="1">
              <w:r w:rsidR="00823298" w:rsidRPr="00470480">
                <w:rPr>
                  <w:rStyle w:val="Hyperlink"/>
                  <w:rFonts w:ascii="Arial" w:hAnsi="Arial" w:cs="Arial"/>
                  <w:sz w:val="20"/>
                  <w:szCs w:val="20"/>
                </w:rPr>
                <w:t>Introduction</w:t>
              </w:r>
            </w:hyperlink>
          </w:p>
        </w:tc>
      </w:tr>
      <w:tr w:rsidR="00823298" w:rsidRPr="00470480" w:rsidTr="00823298">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823298">
            <w:pPr>
              <w:jc w:val="center"/>
              <w:rPr>
                <w:rFonts w:ascii="Arial" w:hAnsi="Arial" w:cs="Arial"/>
                <w:color w:val="000000"/>
                <w:sz w:val="20"/>
                <w:szCs w:val="20"/>
              </w:rPr>
            </w:pPr>
            <w:r w:rsidRPr="00470480">
              <w:rPr>
                <w:rFonts w:ascii="Arial" w:hAnsi="Arial" w:cs="Arial"/>
                <w:color w:val="000000"/>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49" w:anchor="2" w:history="1">
              <w:r w:rsidR="00823298" w:rsidRPr="00470480">
                <w:rPr>
                  <w:rStyle w:val="Hyperlink"/>
                  <w:rFonts w:ascii="Arial" w:hAnsi="Arial" w:cs="Arial"/>
                  <w:sz w:val="20"/>
                  <w:szCs w:val="20"/>
                </w:rPr>
                <w:t>Working Capital Requirements</w:t>
              </w:r>
            </w:hyperlink>
          </w:p>
        </w:tc>
      </w:tr>
      <w:tr w:rsidR="00823298" w:rsidRPr="00470480" w:rsidTr="00823298">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823298">
            <w:pPr>
              <w:jc w:val="center"/>
              <w:rPr>
                <w:rFonts w:ascii="Arial" w:hAnsi="Arial" w:cs="Arial"/>
                <w:color w:val="000000"/>
                <w:sz w:val="20"/>
                <w:szCs w:val="20"/>
              </w:rPr>
            </w:pPr>
            <w:r w:rsidRPr="00470480">
              <w:rPr>
                <w:rFonts w:ascii="Arial" w:hAnsi="Arial" w:cs="Arial"/>
                <w:color w:val="000000"/>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50" w:anchor="3" w:history="1">
              <w:r w:rsidR="00823298" w:rsidRPr="00470480">
                <w:rPr>
                  <w:rStyle w:val="Hyperlink"/>
                  <w:rFonts w:ascii="Arial" w:hAnsi="Arial" w:cs="Arial"/>
                  <w:sz w:val="20"/>
                  <w:szCs w:val="20"/>
                </w:rPr>
                <w:t>Loan System for delivery of bank credit</w:t>
              </w:r>
            </w:hyperlink>
          </w:p>
        </w:tc>
      </w:tr>
      <w:tr w:rsidR="00823298" w:rsidRPr="00470480" w:rsidTr="00823298">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823298">
            <w:pPr>
              <w:jc w:val="center"/>
              <w:rPr>
                <w:rFonts w:ascii="Arial" w:hAnsi="Arial" w:cs="Arial"/>
                <w:color w:val="000000"/>
                <w:sz w:val="20"/>
                <w:szCs w:val="20"/>
              </w:rPr>
            </w:pPr>
            <w:r w:rsidRPr="00470480">
              <w:rPr>
                <w:rFonts w:ascii="Arial" w:hAnsi="Arial" w:cs="Arial"/>
                <w:color w:val="000000"/>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51" w:anchor="4" w:history="1">
              <w:r w:rsidR="00823298" w:rsidRPr="00470480">
                <w:rPr>
                  <w:rStyle w:val="Hyperlink"/>
                  <w:rFonts w:ascii="Arial" w:hAnsi="Arial" w:cs="Arial"/>
                  <w:sz w:val="20"/>
                  <w:szCs w:val="20"/>
                </w:rPr>
                <w:t>Credit Administration</w:t>
              </w:r>
            </w:hyperlink>
          </w:p>
        </w:tc>
      </w:tr>
      <w:tr w:rsidR="00823298" w:rsidRPr="00470480" w:rsidTr="00823298">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823298">
            <w:pPr>
              <w:jc w:val="center"/>
              <w:rPr>
                <w:rFonts w:ascii="Arial" w:hAnsi="Arial" w:cs="Arial"/>
                <w:color w:val="000000"/>
                <w:sz w:val="20"/>
                <w:szCs w:val="20"/>
              </w:rPr>
            </w:pPr>
            <w:r w:rsidRPr="00470480">
              <w:rPr>
                <w:rFonts w:ascii="Arial" w:hAnsi="Arial" w:cs="Arial"/>
                <w:color w:val="000000"/>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52" w:anchor="5" w:history="1">
              <w:r w:rsidR="00823298" w:rsidRPr="00470480">
                <w:rPr>
                  <w:rStyle w:val="Hyperlink"/>
                  <w:rFonts w:ascii="Arial" w:hAnsi="Arial" w:cs="Arial"/>
                  <w:sz w:val="20"/>
                  <w:szCs w:val="20"/>
                </w:rPr>
                <w:t>Exchange of credit information</w:t>
              </w:r>
            </w:hyperlink>
          </w:p>
        </w:tc>
      </w:tr>
      <w:tr w:rsidR="00823298" w:rsidRPr="00470480" w:rsidTr="00823298">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823298">
            <w:pPr>
              <w:jc w:val="center"/>
              <w:rPr>
                <w:rFonts w:ascii="Arial" w:hAnsi="Arial" w:cs="Arial"/>
                <w:color w:val="000000"/>
                <w:sz w:val="20"/>
                <w:szCs w:val="20"/>
              </w:rPr>
            </w:pPr>
            <w:r w:rsidRPr="00470480">
              <w:rPr>
                <w:rFonts w:ascii="Arial" w:hAnsi="Arial" w:cs="Arial"/>
                <w:color w:val="000000"/>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53" w:anchor="6" w:history="1">
              <w:r w:rsidR="00823298" w:rsidRPr="00470480">
                <w:rPr>
                  <w:rStyle w:val="Hyperlink"/>
                  <w:rFonts w:ascii="Arial" w:hAnsi="Arial" w:cs="Arial"/>
                  <w:sz w:val="20"/>
                  <w:szCs w:val="20"/>
                </w:rPr>
                <w:t>Prudential Guidelines on Restructuring of Advances</w:t>
              </w:r>
            </w:hyperlink>
          </w:p>
        </w:tc>
      </w:tr>
      <w:tr w:rsidR="00823298" w:rsidRPr="00470480" w:rsidTr="00823298">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823298">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54" w:anchor="7" w:history="1">
              <w:r w:rsidR="00823298" w:rsidRPr="00470480">
                <w:rPr>
                  <w:rStyle w:val="Hyperlink"/>
                  <w:rFonts w:ascii="Arial" w:hAnsi="Arial" w:cs="Arial"/>
                  <w:sz w:val="20"/>
                  <w:szCs w:val="20"/>
                </w:rPr>
                <w:t>Specific Lending Activities</w:t>
              </w:r>
            </w:hyperlink>
          </w:p>
        </w:tc>
      </w:tr>
      <w:tr w:rsidR="00823298" w:rsidRPr="00470480" w:rsidTr="00823298">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823298">
            <w:pPr>
              <w:jc w:val="center"/>
              <w:rPr>
                <w:rFonts w:ascii="Arial" w:hAnsi="Arial" w:cs="Arial"/>
                <w:color w:val="000000"/>
                <w:sz w:val="20"/>
                <w:szCs w:val="20"/>
              </w:rPr>
            </w:pPr>
            <w:r w:rsidRPr="00470480">
              <w:rPr>
                <w:rFonts w:ascii="Arial" w:hAnsi="Arial" w:cs="Arial"/>
                <w:color w:val="000000"/>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55" w:anchor="8" w:history="1">
              <w:r w:rsidR="00823298" w:rsidRPr="00470480">
                <w:rPr>
                  <w:rStyle w:val="Hyperlink"/>
                  <w:rFonts w:ascii="Arial" w:hAnsi="Arial" w:cs="Arial"/>
                  <w:sz w:val="20"/>
                  <w:szCs w:val="20"/>
                </w:rPr>
                <w:t>Discounting/Rediscounting of Bills by Banks</w:t>
              </w:r>
            </w:hyperlink>
          </w:p>
        </w:tc>
      </w:tr>
      <w:tr w:rsidR="00823298" w:rsidRPr="00470480" w:rsidTr="00823298">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823298">
            <w:pPr>
              <w:jc w:val="center"/>
              <w:rPr>
                <w:rFonts w:ascii="Arial" w:hAnsi="Arial" w:cs="Arial"/>
                <w:color w:val="000000"/>
                <w:sz w:val="20"/>
                <w:szCs w:val="20"/>
              </w:rPr>
            </w:pPr>
            <w:r w:rsidRPr="00470480">
              <w:rPr>
                <w:rFonts w:ascii="Arial" w:hAnsi="Arial" w:cs="Arial"/>
                <w:color w:val="000000"/>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56" w:anchor="9" w:history="1">
              <w:r w:rsidR="00823298" w:rsidRPr="00470480">
                <w:rPr>
                  <w:rStyle w:val="Hyperlink"/>
                  <w:rFonts w:ascii="Arial" w:hAnsi="Arial" w:cs="Arial"/>
                  <w:sz w:val="20"/>
                  <w:szCs w:val="20"/>
                </w:rPr>
                <w:t>Loans to Self Help Groups (SHGs) / Joint Liability Groups (JLGs)</w:t>
              </w:r>
            </w:hyperlink>
          </w:p>
        </w:tc>
      </w:tr>
      <w:tr w:rsidR="00823298" w:rsidRPr="00470480" w:rsidTr="00823298">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823298">
            <w:pPr>
              <w:jc w:val="center"/>
              <w:rPr>
                <w:rFonts w:ascii="Arial" w:hAnsi="Arial" w:cs="Arial"/>
                <w:color w:val="000000"/>
                <w:sz w:val="20"/>
                <w:szCs w:val="20"/>
              </w:rPr>
            </w:pPr>
            <w:r w:rsidRPr="00470480">
              <w:rPr>
                <w:rFonts w:ascii="Arial" w:hAnsi="Arial" w:cs="Arial"/>
                <w:color w:val="000000"/>
                <w:sz w:val="20"/>
                <w:szCs w:val="20"/>
              </w:rPr>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57" w:anchor="10" w:history="1">
              <w:r w:rsidR="00823298" w:rsidRPr="00470480">
                <w:rPr>
                  <w:rStyle w:val="Hyperlink"/>
                  <w:rFonts w:ascii="Arial" w:hAnsi="Arial" w:cs="Arial"/>
                  <w:sz w:val="20"/>
                  <w:szCs w:val="20"/>
                </w:rPr>
                <w:t>Revival of Interest Tax Act, 1974</w:t>
              </w:r>
            </w:hyperlink>
          </w:p>
        </w:tc>
      </w:tr>
      <w:tr w:rsidR="00823298" w:rsidRPr="00470480" w:rsidTr="00823298">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823298">
            <w:pPr>
              <w:jc w:val="center"/>
              <w:rPr>
                <w:rFonts w:ascii="Arial" w:hAnsi="Arial" w:cs="Arial"/>
                <w:color w:val="000000"/>
                <w:sz w:val="20"/>
                <w:szCs w:val="20"/>
              </w:rPr>
            </w:pPr>
            <w:r w:rsidRPr="00470480">
              <w:rPr>
                <w:rFonts w:ascii="Arial" w:hAnsi="Arial" w:cs="Arial"/>
                <w:color w:val="000000"/>
                <w:sz w:val="20"/>
                <w:szCs w:val="20"/>
              </w:rPr>
              <w:t>11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58" w:anchor="11" w:history="1">
              <w:r w:rsidR="00823298" w:rsidRPr="00470480">
                <w:rPr>
                  <w:rStyle w:val="Hyperlink"/>
                  <w:rFonts w:ascii="Arial" w:hAnsi="Arial" w:cs="Arial"/>
                  <w:sz w:val="20"/>
                  <w:szCs w:val="20"/>
                </w:rPr>
                <w:t>Relief measures to be extended in areas affected by natural calamities</w:t>
              </w:r>
            </w:hyperlink>
          </w:p>
        </w:tc>
      </w:tr>
      <w:tr w:rsidR="00823298" w:rsidRPr="00470480" w:rsidTr="00823298">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59" w:anchor="AN1" w:history="1">
              <w:r w:rsidR="00823298" w:rsidRPr="00470480">
                <w:rPr>
                  <w:rStyle w:val="Hyperlink"/>
                  <w:rFonts w:ascii="Arial" w:hAnsi="Arial" w:cs="Arial"/>
                  <w:sz w:val="20"/>
                  <w:szCs w:val="20"/>
                </w:rPr>
                <w:t xml:space="preserve">Annex - 1 Guidelines on Valuation of Properties – Empanelment of </w:t>
              </w:r>
              <w:proofErr w:type="spellStart"/>
              <w:r w:rsidR="00823298" w:rsidRPr="00470480">
                <w:rPr>
                  <w:rStyle w:val="Hyperlink"/>
                  <w:rFonts w:ascii="Arial" w:hAnsi="Arial" w:cs="Arial"/>
                  <w:sz w:val="20"/>
                  <w:szCs w:val="20"/>
                </w:rPr>
                <w:t>Valuers</w:t>
              </w:r>
              <w:proofErr w:type="spellEnd"/>
            </w:hyperlink>
          </w:p>
        </w:tc>
      </w:tr>
      <w:tr w:rsidR="00823298" w:rsidRPr="00470480" w:rsidTr="00823298">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60" w:anchor="AN2" w:history="1">
              <w:r w:rsidR="00823298" w:rsidRPr="00470480">
                <w:rPr>
                  <w:rStyle w:val="Hyperlink"/>
                  <w:rFonts w:ascii="Arial" w:hAnsi="Arial" w:cs="Arial"/>
                  <w:sz w:val="20"/>
                  <w:szCs w:val="20"/>
                </w:rPr>
                <w:t>Annex - 2 Guidelines for Relief Measures by Banks in Areas Affected by Natural Calamities</w:t>
              </w:r>
            </w:hyperlink>
          </w:p>
        </w:tc>
      </w:tr>
      <w:tr w:rsidR="00823298" w:rsidRPr="00470480" w:rsidTr="00823298">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61" w:anchor="AN3" w:history="1">
              <w:r w:rsidR="00823298" w:rsidRPr="00470480">
                <w:rPr>
                  <w:rStyle w:val="Hyperlink"/>
                  <w:rFonts w:ascii="Arial" w:hAnsi="Arial" w:cs="Arial"/>
                  <w:sz w:val="20"/>
                  <w:szCs w:val="20"/>
                </w:rPr>
                <w:t xml:space="preserve">Annex - 3 Format for reporting of </w:t>
              </w:r>
              <w:proofErr w:type="spellStart"/>
              <w:r w:rsidR="00823298" w:rsidRPr="00470480">
                <w:rPr>
                  <w:rStyle w:val="Hyperlink"/>
                  <w:rFonts w:ascii="Arial" w:hAnsi="Arial" w:cs="Arial"/>
                  <w:sz w:val="20"/>
                  <w:szCs w:val="20"/>
                </w:rPr>
                <w:t>borrowal</w:t>
              </w:r>
              <w:proofErr w:type="spellEnd"/>
              <w:r w:rsidR="00823298" w:rsidRPr="00470480">
                <w:rPr>
                  <w:rStyle w:val="Hyperlink"/>
                  <w:rFonts w:ascii="Arial" w:hAnsi="Arial" w:cs="Arial"/>
                  <w:sz w:val="20"/>
                  <w:szCs w:val="20"/>
                </w:rPr>
                <w:t xml:space="preserve"> accounts classified as doubtful, loss for suit filed with outstanding of Rs.1crore and above &amp; Format for reporting of information on cases of wilful default of ₹ 25.00 lakh and above</w:t>
              </w:r>
            </w:hyperlink>
          </w:p>
        </w:tc>
      </w:tr>
      <w:tr w:rsidR="00823298" w:rsidRPr="00470480" w:rsidTr="00823298">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62" w:anchor="AN4" w:history="1">
              <w:r w:rsidR="00823298" w:rsidRPr="00470480">
                <w:rPr>
                  <w:rStyle w:val="Hyperlink"/>
                  <w:rFonts w:ascii="Arial" w:hAnsi="Arial" w:cs="Arial"/>
                  <w:sz w:val="20"/>
                  <w:szCs w:val="20"/>
                </w:rPr>
                <w:t>Annex - 4 Definition of Micro, Small and Medium Enterprises</w:t>
              </w:r>
            </w:hyperlink>
          </w:p>
        </w:tc>
      </w:tr>
      <w:tr w:rsidR="00823298" w:rsidRPr="00470480" w:rsidTr="00823298">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63" w:anchor="AN5" w:history="1">
              <w:r w:rsidR="00823298" w:rsidRPr="00470480">
                <w:rPr>
                  <w:rStyle w:val="Hyperlink"/>
                  <w:rFonts w:ascii="Arial" w:hAnsi="Arial" w:cs="Arial"/>
                  <w:sz w:val="20"/>
                  <w:szCs w:val="20"/>
                </w:rPr>
                <w:t>Annex - 5 Safeguards-Advances against pledge of Gold/Silver ornaments</w:t>
              </w:r>
            </w:hyperlink>
          </w:p>
        </w:tc>
      </w:tr>
      <w:tr w:rsidR="00823298" w:rsidRPr="00470480" w:rsidTr="00823298">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64" w:anchor="AN6" w:history="1">
              <w:r w:rsidR="00823298" w:rsidRPr="00470480">
                <w:rPr>
                  <w:rStyle w:val="Hyperlink"/>
                  <w:rFonts w:ascii="Arial" w:hAnsi="Arial" w:cs="Arial"/>
                  <w:sz w:val="20"/>
                  <w:szCs w:val="20"/>
                </w:rPr>
                <w:t>Annex - 6 Recommendations of the Committee to Recommended Data Format of Credit Information to CICs</w:t>
              </w:r>
            </w:hyperlink>
          </w:p>
        </w:tc>
      </w:tr>
      <w:tr w:rsidR="00823298" w:rsidRPr="00470480" w:rsidTr="00823298">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65" w:anchor="AN7" w:history="1">
              <w:r w:rsidR="00823298" w:rsidRPr="00470480">
                <w:rPr>
                  <w:rStyle w:val="Hyperlink"/>
                  <w:rFonts w:ascii="Arial" w:hAnsi="Arial" w:cs="Arial"/>
                  <w:sz w:val="20"/>
                  <w:szCs w:val="20"/>
                </w:rPr>
                <w:t>Annex - 7 Credit information reporting in respect of Self Help Group (SHG) members</w:t>
              </w:r>
            </w:hyperlink>
          </w:p>
        </w:tc>
      </w:tr>
      <w:tr w:rsidR="00823298" w:rsidRPr="00470480" w:rsidTr="00823298">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23298" w:rsidRPr="00470480" w:rsidRDefault="00FD1759">
            <w:pPr>
              <w:jc w:val="both"/>
              <w:rPr>
                <w:rFonts w:ascii="Arial" w:hAnsi="Arial" w:cs="Arial"/>
                <w:color w:val="000000"/>
                <w:sz w:val="20"/>
                <w:szCs w:val="20"/>
              </w:rPr>
            </w:pPr>
            <w:hyperlink r:id="rId166" w:anchor="AP" w:history="1">
              <w:r w:rsidR="00823298" w:rsidRPr="00470480">
                <w:rPr>
                  <w:rStyle w:val="Hyperlink"/>
                  <w:rFonts w:ascii="Arial" w:hAnsi="Arial" w:cs="Arial"/>
                  <w:sz w:val="20"/>
                  <w:szCs w:val="20"/>
                </w:rPr>
                <w:t>Appendix List of circulars consolidated in the Master Circular</w:t>
              </w:r>
            </w:hyperlink>
          </w:p>
        </w:tc>
      </w:tr>
    </w:tbl>
    <w:p w:rsidR="001942B3" w:rsidRDefault="001942B3" w:rsidP="00823298">
      <w:pPr>
        <w:pStyle w:val="NormalWeb"/>
        <w:jc w:val="both"/>
        <w:rPr>
          <w:rFonts w:ascii="Arial" w:hAnsi="Arial" w:cs="Arial"/>
          <w:color w:val="000000"/>
          <w:sz w:val="20"/>
          <w:szCs w:val="20"/>
        </w:rPr>
      </w:pPr>
    </w:p>
    <w:p w:rsidR="001942B3" w:rsidRDefault="001942B3" w:rsidP="00823298">
      <w:pPr>
        <w:pStyle w:val="NormalWeb"/>
        <w:jc w:val="both"/>
        <w:rPr>
          <w:rFonts w:ascii="Arial" w:hAnsi="Arial" w:cs="Arial"/>
          <w:color w:val="000000"/>
          <w:sz w:val="20"/>
          <w:szCs w:val="20"/>
        </w:rPr>
      </w:pPr>
    </w:p>
    <w:p w:rsidR="005F6218" w:rsidRDefault="005F6218" w:rsidP="00823298">
      <w:pPr>
        <w:pStyle w:val="NormalWeb"/>
        <w:jc w:val="both"/>
        <w:rPr>
          <w:rFonts w:ascii="Arial" w:hAnsi="Arial" w:cs="Arial"/>
          <w:color w:val="000000"/>
          <w:sz w:val="20"/>
          <w:szCs w:val="20"/>
        </w:rPr>
      </w:pPr>
      <w:r>
        <w:rPr>
          <w:rFonts w:ascii="Arial" w:hAnsi="Arial" w:cs="Arial"/>
          <w:color w:val="000000"/>
          <w:sz w:val="20"/>
          <w:szCs w:val="20"/>
        </w:rPr>
        <w:t xml:space="preserve">For </w:t>
      </w:r>
      <w:r w:rsidR="001942B3">
        <w:rPr>
          <w:rFonts w:ascii="Arial" w:hAnsi="Arial" w:cs="Arial"/>
          <w:color w:val="000000"/>
          <w:sz w:val="20"/>
          <w:szCs w:val="20"/>
        </w:rPr>
        <w:t>details under the above mentioned headings, refer to the link below.</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67" w:history="1">
        <w:r w:rsidRPr="00470480">
          <w:rPr>
            <w:rStyle w:val="Hyperlink"/>
            <w:rFonts w:ascii="Arial" w:hAnsi="Arial" w:cs="Arial"/>
            <w:sz w:val="20"/>
            <w:szCs w:val="20"/>
          </w:rPr>
          <w:t>https://www.rbi.org.in/Scripts/NotificationUser.aspx?Id=12288&amp;Mode=0</w:t>
        </w:r>
      </w:hyperlink>
    </w:p>
    <w:p w:rsidR="00823298" w:rsidRPr="00470480" w:rsidRDefault="00823298" w:rsidP="00823298">
      <w:pPr>
        <w:pStyle w:val="NormalWeb"/>
        <w:jc w:val="both"/>
        <w:rPr>
          <w:rFonts w:ascii="Arial" w:hAnsi="Arial" w:cs="Arial"/>
          <w:color w:val="000000"/>
          <w:sz w:val="20"/>
          <w:szCs w:val="20"/>
        </w:rPr>
      </w:pPr>
    </w:p>
    <w:p w:rsidR="00823298" w:rsidRPr="00470480" w:rsidRDefault="00823298" w:rsidP="00823298">
      <w:pPr>
        <w:pStyle w:val="NormalWeb"/>
        <w:jc w:val="both"/>
        <w:rPr>
          <w:rFonts w:ascii="Arial" w:hAnsi="Arial" w:cs="Arial"/>
          <w:color w:val="000000"/>
          <w:sz w:val="20"/>
          <w:szCs w:val="20"/>
        </w:rPr>
      </w:pPr>
    </w:p>
    <w:p w:rsidR="00823298" w:rsidRPr="00470480" w:rsidRDefault="00823298" w:rsidP="00823298">
      <w:pPr>
        <w:pStyle w:val="NormalWeb"/>
        <w:jc w:val="both"/>
        <w:rPr>
          <w:rFonts w:ascii="Arial" w:hAnsi="Arial" w:cs="Arial"/>
          <w:color w:val="000000"/>
          <w:sz w:val="20"/>
          <w:szCs w:val="20"/>
        </w:rPr>
      </w:pPr>
    </w:p>
    <w:p w:rsidR="00823298" w:rsidRPr="00470480" w:rsidRDefault="00823298" w:rsidP="00823298">
      <w:pPr>
        <w:pStyle w:val="NormalWeb"/>
        <w:jc w:val="both"/>
        <w:rPr>
          <w:rFonts w:ascii="Arial" w:hAnsi="Arial" w:cs="Arial"/>
          <w:color w:val="000000"/>
          <w:sz w:val="20"/>
          <w:szCs w:val="20"/>
        </w:rPr>
      </w:pPr>
    </w:p>
    <w:p w:rsidR="00823298" w:rsidRPr="00470480" w:rsidRDefault="00823298" w:rsidP="00823298">
      <w:pPr>
        <w:pStyle w:val="NormalWeb"/>
        <w:jc w:val="both"/>
        <w:rPr>
          <w:rFonts w:ascii="Arial" w:hAnsi="Arial" w:cs="Arial"/>
          <w:color w:val="000000"/>
          <w:sz w:val="20"/>
          <w:szCs w:val="20"/>
        </w:rPr>
      </w:pPr>
    </w:p>
    <w:p w:rsidR="00823298" w:rsidRPr="00470480" w:rsidRDefault="00823298" w:rsidP="00823298">
      <w:pPr>
        <w:pStyle w:val="NormalWeb"/>
        <w:jc w:val="both"/>
        <w:rPr>
          <w:rFonts w:ascii="Arial" w:hAnsi="Arial" w:cs="Arial"/>
          <w:color w:val="000000"/>
          <w:sz w:val="20"/>
          <w:szCs w:val="20"/>
        </w:rPr>
      </w:pPr>
    </w:p>
    <w:p w:rsidR="00823298" w:rsidRPr="00470480" w:rsidRDefault="00823298" w:rsidP="00823298">
      <w:pPr>
        <w:pStyle w:val="NormalWeb"/>
        <w:jc w:val="both"/>
        <w:rPr>
          <w:rFonts w:ascii="Arial" w:hAnsi="Arial" w:cs="Arial"/>
          <w:color w:val="000000"/>
          <w:sz w:val="20"/>
          <w:szCs w:val="20"/>
        </w:rPr>
      </w:pPr>
    </w:p>
    <w:p w:rsidR="00823298" w:rsidRPr="00470480" w:rsidRDefault="00823298" w:rsidP="00823298">
      <w:pPr>
        <w:pStyle w:val="NormalWeb"/>
        <w:jc w:val="both"/>
        <w:rPr>
          <w:rFonts w:ascii="Arial" w:hAnsi="Arial" w:cs="Arial"/>
          <w:color w:val="000000"/>
          <w:sz w:val="20"/>
          <w:szCs w:val="20"/>
        </w:rPr>
      </w:pPr>
    </w:p>
    <w:p w:rsidR="00823298" w:rsidRPr="00470480" w:rsidRDefault="00823298" w:rsidP="00823298">
      <w:pPr>
        <w:pStyle w:val="NormalWeb"/>
        <w:jc w:val="both"/>
        <w:rPr>
          <w:rFonts w:ascii="Arial" w:hAnsi="Arial" w:cs="Arial"/>
          <w:color w:val="000000"/>
          <w:sz w:val="20"/>
          <w:szCs w:val="20"/>
        </w:rPr>
      </w:pPr>
    </w:p>
    <w:p w:rsidR="00823298" w:rsidRPr="00470480" w:rsidRDefault="00823298" w:rsidP="00823298">
      <w:pPr>
        <w:pStyle w:val="NormalWeb"/>
        <w:jc w:val="both"/>
        <w:rPr>
          <w:rFonts w:ascii="Arial" w:hAnsi="Arial" w:cs="Arial"/>
          <w:color w:val="000000"/>
          <w:sz w:val="20"/>
          <w:szCs w:val="20"/>
        </w:rPr>
      </w:pPr>
    </w:p>
    <w:p w:rsidR="00823298" w:rsidRPr="00470480" w:rsidRDefault="00823298" w:rsidP="00823298">
      <w:pPr>
        <w:pStyle w:val="NormalWeb"/>
        <w:jc w:val="both"/>
        <w:rPr>
          <w:rFonts w:ascii="Arial" w:hAnsi="Arial" w:cs="Arial"/>
          <w:color w:val="000000"/>
          <w:sz w:val="20"/>
          <w:szCs w:val="20"/>
        </w:rPr>
      </w:pPr>
    </w:p>
    <w:p w:rsidR="00823298" w:rsidRPr="00470480" w:rsidRDefault="00823298" w:rsidP="00823298">
      <w:pPr>
        <w:pStyle w:val="NormalWeb"/>
        <w:jc w:val="both"/>
        <w:rPr>
          <w:rFonts w:ascii="Arial" w:hAnsi="Arial" w:cs="Arial"/>
          <w:color w:val="000000"/>
          <w:sz w:val="20"/>
          <w:szCs w:val="20"/>
        </w:rPr>
      </w:pPr>
    </w:p>
    <w:p w:rsidR="00823298" w:rsidRPr="00470480" w:rsidRDefault="00823298" w:rsidP="00823298">
      <w:pPr>
        <w:pStyle w:val="NormalWeb"/>
        <w:jc w:val="both"/>
        <w:rPr>
          <w:rFonts w:ascii="Arial" w:hAnsi="Arial" w:cs="Arial"/>
          <w:color w:val="000000"/>
          <w:sz w:val="20"/>
          <w:szCs w:val="20"/>
        </w:rPr>
      </w:pPr>
    </w:p>
    <w:p w:rsidR="00823298" w:rsidRPr="00470480" w:rsidRDefault="00823298" w:rsidP="00823298">
      <w:pPr>
        <w:pStyle w:val="NormalWeb"/>
        <w:jc w:val="both"/>
        <w:rPr>
          <w:rFonts w:ascii="Arial" w:hAnsi="Arial" w:cs="Arial"/>
          <w:color w:val="000000"/>
          <w:sz w:val="20"/>
          <w:szCs w:val="20"/>
        </w:rPr>
      </w:pPr>
    </w:p>
    <w:p w:rsidR="00823298" w:rsidRPr="00470480" w:rsidRDefault="00823298" w:rsidP="00823298">
      <w:pPr>
        <w:pStyle w:val="NormalWeb"/>
        <w:jc w:val="both"/>
        <w:rPr>
          <w:rFonts w:ascii="Arial" w:hAnsi="Arial" w:cs="Arial"/>
          <w:color w:val="000000"/>
          <w:sz w:val="20"/>
          <w:szCs w:val="20"/>
        </w:rPr>
      </w:pPr>
    </w:p>
    <w:p w:rsidR="001942B3" w:rsidRDefault="001942B3" w:rsidP="00823298">
      <w:pPr>
        <w:pStyle w:val="NormalWeb"/>
        <w:jc w:val="both"/>
        <w:rPr>
          <w:rFonts w:ascii="Arial" w:hAnsi="Arial" w:cs="Arial"/>
          <w:color w:val="000000"/>
          <w:sz w:val="20"/>
          <w:szCs w:val="20"/>
        </w:rPr>
      </w:pPr>
    </w:p>
    <w:p w:rsidR="00823298" w:rsidRPr="00470480" w:rsidRDefault="00823298" w:rsidP="00823298">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Review of SLR holdings in HTM category</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RBI/2022-23/21</w:t>
      </w:r>
      <w:r w:rsidRPr="00470480">
        <w:rPr>
          <w:rFonts w:ascii="Arial" w:hAnsi="Arial" w:cs="Arial"/>
          <w:color w:val="000000"/>
          <w:sz w:val="20"/>
          <w:szCs w:val="20"/>
        </w:rPr>
        <w:br/>
        <w:t>DOR.MRG.REC.14/21.04.141/2022-23</w:t>
      </w:r>
    </w:p>
    <w:p w:rsidR="00823298" w:rsidRPr="00470480" w:rsidRDefault="00823298" w:rsidP="00823298">
      <w:pPr>
        <w:pStyle w:val="NormalWeb"/>
        <w:jc w:val="right"/>
        <w:rPr>
          <w:rFonts w:ascii="Arial" w:hAnsi="Arial" w:cs="Arial"/>
          <w:color w:val="000000"/>
          <w:sz w:val="20"/>
          <w:szCs w:val="20"/>
        </w:rPr>
      </w:pPr>
      <w:r w:rsidRPr="00470480">
        <w:rPr>
          <w:rFonts w:ascii="Arial" w:hAnsi="Arial" w:cs="Arial"/>
          <w:color w:val="000000"/>
          <w:sz w:val="20"/>
          <w:szCs w:val="20"/>
        </w:rPr>
        <w:t>April 08, 2022</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823298" w:rsidRPr="00470480" w:rsidRDefault="00823298" w:rsidP="00823298">
      <w:pPr>
        <w:pStyle w:val="head"/>
        <w:jc w:val="both"/>
        <w:rPr>
          <w:rFonts w:ascii="Arial" w:hAnsi="Arial" w:cs="Arial"/>
          <w:b/>
          <w:bCs/>
          <w:color w:val="000000"/>
          <w:sz w:val="20"/>
          <w:szCs w:val="20"/>
        </w:rPr>
      </w:pPr>
      <w:r w:rsidRPr="00470480">
        <w:rPr>
          <w:rFonts w:ascii="Arial" w:hAnsi="Arial" w:cs="Arial"/>
          <w:b/>
          <w:bCs/>
          <w:color w:val="000000"/>
          <w:sz w:val="20"/>
          <w:szCs w:val="20"/>
        </w:rPr>
        <w:t>Review of SLR holdings in HTM category</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4 of </w:t>
      </w:r>
      <w:hyperlink r:id="rId168" w:tgtFrame="_blank" w:history="1">
        <w:r w:rsidRPr="00470480">
          <w:rPr>
            <w:rStyle w:val="Hyperlink"/>
            <w:rFonts w:ascii="Arial" w:hAnsi="Arial" w:cs="Arial"/>
            <w:sz w:val="20"/>
            <w:szCs w:val="20"/>
          </w:rPr>
          <w:t>Statement on Development and Regulatory Policies</w:t>
        </w:r>
      </w:hyperlink>
      <w:r w:rsidRPr="00470480">
        <w:rPr>
          <w:rFonts w:ascii="Arial" w:hAnsi="Arial" w:cs="Arial"/>
          <w:color w:val="000000"/>
          <w:sz w:val="20"/>
          <w:szCs w:val="20"/>
        </w:rPr>
        <w:t> of the </w:t>
      </w:r>
      <w:hyperlink r:id="rId169" w:tgtFrame="_blank" w:history="1">
        <w:r w:rsidRPr="00470480">
          <w:rPr>
            <w:rStyle w:val="Hyperlink"/>
            <w:rFonts w:ascii="Arial" w:hAnsi="Arial" w:cs="Arial"/>
            <w:sz w:val="20"/>
            <w:szCs w:val="20"/>
          </w:rPr>
          <w:t>Monetary Policy Statement, 2022-23 dated April 08, 2022</w:t>
        </w:r>
      </w:hyperlink>
      <w:r w:rsidRPr="00470480">
        <w:rPr>
          <w:rFonts w:ascii="Arial" w:hAnsi="Arial" w:cs="Arial"/>
          <w:color w:val="000000"/>
          <w:sz w:val="20"/>
          <w:szCs w:val="20"/>
        </w:rPr>
        <w:t> and Section 6(iv)(a) of </w:t>
      </w:r>
      <w:hyperlink r:id="rId170" w:tgtFrame="_blank" w:history="1">
        <w:r w:rsidRPr="00470480">
          <w:rPr>
            <w:rStyle w:val="Hyperlink"/>
            <w:rFonts w:ascii="Arial" w:hAnsi="Arial" w:cs="Arial"/>
            <w:sz w:val="20"/>
            <w:szCs w:val="20"/>
          </w:rPr>
          <w:t>Master Direction - Classification, Valuation and Operation of Investment Portfolio of Commercial Banks (Directions), 2021 dated August 25, 2021</w:t>
        </w:r>
      </w:hyperlink>
      <w:r w:rsidRPr="00470480">
        <w:rPr>
          <w:rFonts w:ascii="Arial" w:hAnsi="Arial" w:cs="Arial"/>
          <w:color w:val="000000"/>
          <w:sz w:val="20"/>
          <w:szCs w:val="20"/>
        </w:rPr>
        <w:t>.</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2. At present, banks have been granted a special dispensation of enhanced Held to Maturity (HTM) limit of 22 per cent of Net Demand and Time Liabilities (NDTL), for Statutory Liquidity Ratio (SLR) eligible securities acquired between September 1, 2020 and March 31, 2022, until March 31, 2023.</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3. On a review, it has now been decided to further enhance the existing HTM limit of 22 per cent of NDTL to 23 per cent of NDTL and allow banks to include securities acquired between April 1, 2022 and March 31, 2023 under the enhanced limit of 23 per cent.</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4. The enhanced HTM limit of 23 per cent shall be restored to 19.5 percent in a phased manner, beginning from the quarter ending June 30, 2023, i.e. the excess SLR securities acquired by banks during the period September 1, 2020 to March 31, 2023 shall be progressively reduced such that the total SLR securities held in the HTM category as a percentage of the NDTL do not exceed:</w:t>
      </w:r>
    </w:p>
    <w:p w:rsidR="00823298" w:rsidRPr="00470480" w:rsidRDefault="00823298" w:rsidP="00421545">
      <w:pPr>
        <w:pStyle w:val="NormalWeb"/>
        <w:numPr>
          <w:ilvl w:val="0"/>
          <w:numId w:val="39"/>
        </w:numPr>
        <w:ind w:left="0"/>
        <w:jc w:val="both"/>
        <w:rPr>
          <w:rFonts w:ascii="Arial" w:hAnsi="Arial" w:cs="Arial"/>
          <w:color w:val="000000"/>
          <w:sz w:val="20"/>
          <w:szCs w:val="20"/>
        </w:rPr>
      </w:pPr>
      <w:r w:rsidRPr="00470480">
        <w:rPr>
          <w:rFonts w:ascii="Arial" w:hAnsi="Arial" w:cs="Arial"/>
          <w:color w:val="000000"/>
          <w:sz w:val="20"/>
          <w:szCs w:val="20"/>
        </w:rPr>
        <w:t>22.00 per cent as on June 30, 2023</w:t>
      </w:r>
    </w:p>
    <w:p w:rsidR="00823298" w:rsidRPr="00470480" w:rsidRDefault="00823298" w:rsidP="00421545">
      <w:pPr>
        <w:pStyle w:val="NormalWeb"/>
        <w:numPr>
          <w:ilvl w:val="0"/>
          <w:numId w:val="39"/>
        </w:numPr>
        <w:ind w:left="0"/>
        <w:jc w:val="both"/>
        <w:rPr>
          <w:rFonts w:ascii="Arial" w:hAnsi="Arial" w:cs="Arial"/>
          <w:color w:val="000000"/>
          <w:sz w:val="20"/>
          <w:szCs w:val="20"/>
        </w:rPr>
      </w:pPr>
      <w:r w:rsidRPr="00470480">
        <w:rPr>
          <w:rFonts w:ascii="Arial" w:hAnsi="Arial" w:cs="Arial"/>
          <w:color w:val="000000"/>
          <w:sz w:val="20"/>
          <w:szCs w:val="20"/>
        </w:rPr>
        <w:t>21.00 per cent as on September 30, 2023</w:t>
      </w:r>
    </w:p>
    <w:p w:rsidR="00823298" w:rsidRPr="00470480" w:rsidRDefault="00823298" w:rsidP="00421545">
      <w:pPr>
        <w:pStyle w:val="NormalWeb"/>
        <w:numPr>
          <w:ilvl w:val="0"/>
          <w:numId w:val="39"/>
        </w:numPr>
        <w:ind w:left="0"/>
        <w:jc w:val="both"/>
        <w:rPr>
          <w:rFonts w:ascii="Arial" w:hAnsi="Arial" w:cs="Arial"/>
          <w:color w:val="000000"/>
          <w:sz w:val="20"/>
          <w:szCs w:val="20"/>
        </w:rPr>
      </w:pPr>
      <w:r w:rsidRPr="00470480">
        <w:rPr>
          <w:rFonts w:ascii="Arial" w:hAnsi="Arial" w:cs="Arial"/>
          <w:color w:val="000000"/>
          <w:sz w:val="20"/>
          <w:szCs w:val="20"/>
        </w:rPr>
        <w:t>20.00 per cent as on December 31, 2023</w:t>
      </w:r>
    </w:p>
    <w:p w:rsidR="00823298" w:rsidRPr="00470480" w:rsidRDefault="00823298" w:rsidP="00421545">
      <w:pPr>
        <w:pStyle w:val="NormalWeb"/>
        <w:numPr>
          <w:ilvl w:val="0"/>
          <w:numId w:val="39"/>
        </w:numPr>
        <w:ind w:left="0"/>
        <w:jc w:val="both"/>
        <w:rPr>
          <w:rFonts w:ascii="Arial" w:hAnsi="Arial" w:cs="Arial"/>
          <w:color w:val="000000"/>
          <w:sz w:val="20"/>
          <w:szCs w:val="20"/>
        </w:rPr>
      </w:pPr>
      <w:r w:rsidRPr="00470480">
        <w:rPr>
          <w:rFonts w:ascii="Arial" w:hAnsi="Arial" w:cs="Arial"/>
          <w:color w:val="000000"/>
          <w:sz w:val="20"/>
          <w:szCs w:val="20"/>
        </w:rPr>
        <w:t>19.50 per cent as on March 31, 2024</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All other instructions shall remain unchanged.</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are being amended to reflect the aforementioned changes.</w:t>
      </w:r>
    </w:p>
    <w:p w:rsidR="00823298" w:rsidRPr="00470480" w:rsidRDefault="00823298" w:rsidP="00823298">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6. This circular is applicable to all Commercial Banks.</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7. These instructions shall come into force with immediate effect.</w:t>
      </w:r>
    </w:p>
    <w:p w:rsidR="00823298" w:rsidRPr="00470480" w:rsidRDefault="00823298" w:rsidP="00823298">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23298" w:rsidRPr="00470480" w:rsidRDefault="00823298" w:rsidP="0099661C">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536CF8" w:rsidRDefault="00536CF8" w:rsidP="0099661C">
      <w:pPr>
        <w:pStyle w:val="NormalWeb"/>
        <w:rPr>
          <w:rFonts w:ascii="Arial" w:hAnsi="Arial" w:cs="Arial"/>
          <w:color w:val="000000"/>
          <w:sz w:val="20"/>
          <w:szCs w:val="20"/>
        </w:rPr>
      </w:pPr>
    </w:p>
    <w:p w:rsidR="0099661C" w:rsidRPr="00470480" w:rsidRDefault="0099661C" w:rsidP="0099661C">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71" w:history="1">
        <w:r w:rsidRPr="00470480">
          <w:rPr>
            <w:rStyle w:val="Hyperlink"/>
            <w:rFonts w:ascii="Arial" w:hAnsi="Arial" w:cs="Arial"/>
            <w:sz w:val="20"/>
            <w:szCs w:val="20"/>
          </w:rPr>
          <w:t>https://www.rbi.org.in/Scripts/NotificationUser.aspx?Id=12287&amp;Mode=0</w:t>
        </w:r>
      </w:hyperlink>
    </w:p>
    <w:p w:rsidR="0099661C" w:rsidRPr="00470480" w:rsidRDefault="0099661C" w:rsidP="0099661C">
      <w:pPr>
        <w:pStyle w:val="NormalWeb"/>
        <w:rPr>
          <w:rFonts w:ascii="Arial" w:hAnsi="Arial" w:cs="Arial"/>
          <w:color w:val="000000"/>
          <w:sz w:val="20"/>
          <w:szCs w:val="20"/>
        </w:rPr>
      </w:pPr>
    </w:p>
    <w:p w:rsidR="0099661C" w:rsidRPr="00470480" w:rsidRDefault="0099661C" w:rsidP="0099661C">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Individual Housing Loans – Rationalisation of Risk Weights</w:t>
      </w:r>
    </w:p>
    <w:p w:rsidR="0099661C" w:rsidRPr="00470480" w:rsidRDefault="0099661C" w:rsidP="0099661C">
      <w:pPr>
        <w:pStyle w:val="NormalWeb"/>
        <w:jc w:val="both"/>
        <w:rPr>
          <w:rFonts w:ascii="Arial" w:hAnsi="Arial" w:cs="Arial"/>
          <w:color w:val="000000"/>
          <w:sz w:val="20"/>
          <w:szCs w:val="20"/>
        </w:rPr>
      </w:pPr>
      <w:r w:rsidRPr="00470480">
        <w:rPr>
          <w:rFonts w:ascii="Arial" w:hAnsi="Arial" w:cs="Arial"/>
          <w:color w:val="000000"/>
          <w:sz w:val="20"/>
          <w:szCs w:val="20"/>
        </w:rPr>
        <w:t>RBI/2022-23/20</w:t>
      </w:r>
      <w:r w:rsidRPr="00470480">
        <w:rPr>
          <w:rFonts w:ascii="Arial" w:hAnsi="Arial" w:cs="Arial"/>
          <w:color w:val="000000"/>
          <w:sz w:val="20"/>
          <w:szCs w:val="20"/>
        </w:rPr>
        <w:br/>
        <w:t>DOR.CRE.REC.13/08.12.015/2022-23</w:t>
      </w:r>
    </w:p>
    <w:p w:rsidR="0099661C" w:rsidRPr="00470480" w:rsidRDefault="0099661C" w:rsidP="0099661C">
      <w:pPr>
        <w:pStyle w:val="NormalWeb"/>
        <w:jc w:val="right"/>
        <w:rPr>
          <w:rFonts w:ascii="Arial" w:hAnsi="Arial" w:cs="Arial"/>
          <w:color w:val="000000"/>
          <w:sz w:val="20"/>
          <w:szCs w:val="20"/>
        </w:rPr>
      </w:pPr>
      <w:r w:rsidRPr="00470480">
        <w:rPr>
          <w:rFonts w:ascii="Arial" w:hAnsi="Arial" w:cs="Arial"/>
          <w:color w:val="000000"/>
          <w:sz w:val="20"/>
          <w:szCs w:val="20"/>
        </w:rPr>
        <w:t>April 8, 2022</w:t>
      </w:r>
    </w:p>
    <w:p w:rsidR="0099661C" w:rsidRPr="00470480" w:rsidRDefault="0099661C" w:rsidP="0099661C">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(Excluding Local Area Banks and Regional Rural Banks)</w:t>
      </w:r>
    </w:p>
    <w:p w:rsidR="0099661C" w:rsidRPr="00470480" w:rsidRDefault="0099661C" w:rsidP="0099661C">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99661C" w:rsidRPr="00470480" w:rsidRDefault="0099661C" w:rsidP="0099661C">
      <w:pPr>
        <w:pStyle w:val="head"/>
        <w:jc w:val="center"/>
        <w:rPr>
          <w:rFonts w:ascii="Arial" w:hAnsi="Arial" w:cs="Arial"/>
          <w:b/>
          <w:bCs/>
          <w:color w:val="000000"/>
          <w:sz w:val="20"/>
          <w:szCs w:val="20"/>
        </w:rPr>
      </w:pPr>
      <w:r w:rsidRPr="00470480">
        <w:rPr>
          <w:rFonts w:ascii="Arial" w:hAnsi="Arial" w:cs="Arial"/>
          <w:b/>
          <w:bCs/>
          <w:color w:val="000000"/>
          <w:sz w:val="20"/>
          <w:szCs w:val="20"/>
        </w:rPr>
        <w:t>Individual Housing Loans – Rationalisation of Risk Weights</w:t>
      </w:r>
    </w:p>
    <w:p w:rsidR="0099661C" w:rsidRPr="00470480" w:rsidRDefault="0099661C" w:rsidP="0099661C">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172" w:tgtFrame="_blank" w:history="1">
        <w:r w:rsidRPr="00470480">
          <w:rPr>
            <w:rStyle w:val="Hyperlink"/>
            <w:rFonts w:ascii="Arial" w:hAnsi="Arial" w:cs="Arial"/>
            <w:sz w:val="20"/>
            <w:szCs w:val="20"/>
          </w:rPr>
          <w:t>circular DOR.No.BP.BC.24/08.12.015/2020-21 dated October 16, 2020</w:t>
        </w:r>
      </w:hyperlink>
      <w:r w:rsidRPr="00470480">
        <w:rPr>
          <w:rFonts w:ascii="Arial" w:hAnsi="Arial" w:cs="Arial"/>
          <w:color w:val="000000"/>
          <w:sz w:val="20"/>
          <w:szCs w:val="20"/>
        </w:rPr>
        <w:t> on rationalization of risk weights on Individual Housing Loans in terms of which risk weights were rationalised irrespective of the amount, for all new housing loans sanctioned from October 16, 2020 and up to March 31, 2022.</w:t>
      </w:r>
    </w:p>
    <w:p w:rsidR="0099661C" w:rsidRPr="00470480" w:rsidRDefault="0099661C" w:rsidP="0099661C">
      <w:pPr>
        <w:pStyle w:val="NormalWeb"/>
        <w:jc w:val="both"/>
        <w:rPr>
          <w:rFonts w:ascii="Arial" w:hAnsi="Arial" w:cs="Arial"/>
          <w:color w:val="000000"/>
          <w:sz w:val="20"/>
          <w:szCs w:val="20"/>
        </w:rPr>
      </w:pPr>
      <w:r w:rsidRPr="00470480">
        <w:rPr>
          <w:rFonts w:ascii="Arial" w:hAnsi="Arial" w:cs="Arial"/>
          <w:color w:val="000000"/>
          <w:sz w:val="20"/>
          <w:szCs w:val="20"/>
        </w:rPr>
        <w:t>2. On review, it has been decided to continue with the risk weights contained in the circular ibid for all new individual housing loans sanctioned up to March 31, 2023. All other instructions applicable in terms of the </w:t>
      </w:r>
      <w:hyperlink r:id="rId173" w:tgtFrame="_blank" w:history="1">
        <w:r w:rsidRPr="00470480">
          <w:rPr>
            <w:rStyle w:val="Hyperlink"/>
            <w:rFonts w:ascii="Arial" w:hAnsi="Arial" w:cs="Arial"/>
            <w:sz w:val="20"/>
            <w:szCs w:val="20"/>
          </w:rPr>
          <w:t>circular dated October 16, 2020</w:t>
        </w:r>
      </w:hyperlink>
      <w:r w:rsidRPr="00470480">
        <w:rPr>
          <w:rFonts w:ascii="Arial" w:hAnsi="Arial" w:cs="Arial"/>
          <w:color w:val="000000"/>
          <w:sz w:val="20"/>
          <w:szCs w:val="20"/>
        </w:rPr>
        <w:t> remain unchanged.</w:t>
      </w:r>
    </w:p>
    <w:p w:rsidR="0099661C" w:rsidRPr="00470480" w:rsidRDefault="0099661C" w:rsidP="0099661C">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99661C" w:rsidRPr="00470480" w:rsidRDefault="0099661C" w:rsidP="0099661C">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99661C" w:rsidRPr="00470480" w:rsidRDefault="0099661C" w:rsidP="0099661C">
      <w:pPr>
        <w:pStyle w:val="NormalWeb"/>
        <w:rPr>
          <w:rFonts w:ascii="Arial" w:hAnsi="Arial" w:cs="Arial"/>
          <w:color w:val="000000"/>
          <w:sz w:val="20"/>
          <w:szCs w:val="20"/>
        </w:rPr>
      </w:pPr>
    </w:p>
    <w:p w:rsidR="0099661C" w:rsidRPr="00470480" w:rsidRDefault="0099661C" w:rsidP="0099661C">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74" w:history="1">
        <w:r w:rsidRPr="00470480">
          <w:rPr>
            <w:rStyle w:val="Hyperlink"/>
            <w:rFonts w:ascii="Arial" w:hAnsi="Arial" w:cs="Arial"/>
            <w:sz w:val="20"/>
            <w:szCs w:val="20"/>
          </w:rPr>
          <w:t>https://www.rbi.org.in/Scripts/NotificationUser.aspx?Id=12286&amp;Mode=0</w:t>
        </w:r>
      </w:hyperlink>
    </w:p>
    <w:p w:rsidR="0099661C" w:rsidRPr="00470480" w:rsidRDefault="0099661C" w:rsidP="0099661C">
      <w:pPr>
        <w:pStyle w:val="NormalWeb"/>
        <w:rPr>
          <w:rFonts w:ascii="Arial" w:hAnsi="Arial" w:cs="Arial"/>
          <w:b/>
          <w:color w:val="000000"/>
          <w:sz w:val="20"/>
          <w:szCs w:val="20"/>
        </w:rPr>
      </w:pPr>
    </w:p>
    <w:p w:rsidR="0099661C" w:rsidRPr="00470480" w:rsidRDefault="0099661C" w:rsidP="0099661C">
      <w:pPr>
        <w:pStyle w:val="NormalWeb"/>
        <w:rPr>
          <w:rFonts w:ascii="Arial" w:hAnsi="Arial" w:cs="Arial"/>
          <w:color w:val="000000"/>
          <w:sz w:val="20"/>
          <w:szCs w:val="20"/>
        </w:rPr>
      </w:pPr>
    </w:p>
    <w:p w:rsidR="00823298" w:rsidRPr="00470480" w:rsidRDefault="00823298" w:rsidP="00823298">
      <w:pPr>
        <w:pStyle w:val="NormalWeb"/>
        <w:jc w:val="both"/>
        <w:rPr>
          <w:rFonts w:ascii="Arial" w:hAnsi="Arial" w:cs="Arial"/>
          <w:color w:val="000000"/>
          <w:sz w:val="20"/>
          <w:szCs w:val="20"/>
        </w:rPr>
      </w:pPr>
    </w:p>
    <w:p w:rsidR="00823298" w:rsidRPr="00470480" w:rsidRDefault="00823298"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9B4291" w:rsidRPr="00470480" w:rsidRDefault="009B4291" w:rsidP="00BE4BD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Establishment of Digital Banking Units (DBUs)</w:t>
      </w:r>
    </w:p>
    <w:p w:rsidR="009B4291" w:rsidRPr="00470480" w:rsidRDefault="009B4291" w:rsidP="00BE4BD6">
      <w:pPr>
        <w:spacing w:after="0"/>
        <w:jc w:val="both"/>
        <w:rPr>
          <w:rFonts w:ascii="Arial" w:hAnsi="Arial" w:cs="Arial"/>
          <w:b/>
          <w:bCs/>
          <w:color w:val="000000"/>
          <w:sz w:val="20"/>
          <w:szCs w:val="20"/>
        </w:rPr>
      </w:pPr>
    </w:p>
    <w:p w:rsidR="009B4291" w:rsidRPr="00470480" w:rsidRDefault="009B4291" w:rsidP="009B4291">
      <w:pPr>
        <w:pStyle w:val="NormalWeb"/>
        <w:jc w:val="both"/>
        <w:rPr>
          <w:rFonts w:ascii="Arial" w:hAnsi="Arial" w:cs="Arial"/>
          <w:color w:val="000000"/>
          <w:sz w:val="20"/>
          <w:szCs w:val="20"/>
        </w:rPr>
      </w:pPr>
      <w:r w:rsidRPr="00470480">
        <w:rPr>
          <w:rFonts w:ascii="Arial" w:hAnsi="Arial" w:cs="Arial"/>
          <w:color w:val="000000"/>
          <w:sz w:val="20"/>
          <w:szCs w:val="20"/>
        </w:rPr>
        <w:t>RBI/2022-23/19</w:t>
      </w:r>
      <w:r w:rsidRPr="00470480">
        <w:rPr>
          <w:rFonts w:ascii="Arial" w:hAnsi="Arial" w:cs="Arial"/>
          <w:color w:val="000000"/>
          <w:sz w:val="20"/>
          <w:szCs w:val="20"/>
        </w:rPr>
        <w:br/>
        <w:t>DOR.AUT.REC.12/22.01.001/2022-23</w:t>
      </w:r>
    </w:p>
    <w:p w:rsidR="009B4291" w:rsidRPr="00470480" w:rsidRDefault="009B4291" w:rsidP="009B4291">
      <w:pPr>
        <w:pStyle w:val="NormalWeb"/>
        <w:jc w:val="right"/>
        <w:rPr>
          <w:rFonts w:ascii="Arial" w:hAnsi="Arial" w:cs="Arial"/>
          <w:color w:val="000000"/>
          <w:sz w:val="20"/>
          <w:szCs w:val="20"/>
        </w:rPr>
      </w:pPr>
      <w:r w:rsidRPr="00470480">
        <w:rPr>
          <w:rFonts w:ascii="Arial" w:hAnsi="Arial" w:cs="Arial"/>
          <w:color w:val="000000"/>
          <w:sz w:val="20"/>
          <w:szCs w:val="20"/>
        </w:rPr>
        <w:t>April 7, 2022</w:t>
      </w:r>
    </w:p>
    <w:p w:rsidR="009B4291" w:rsidRPr="00470480" w:rsidRDefault="009B4291" w:rsidP="009B4291">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(excluding Regional Rural Banks, Local Area Banks &amp; Payments Banks)</w:t>
      </w:r>
    </w:p>
    <w:p w:rsidR="009B4291" w:rsidRPr="00470480" w:rsidRDefault="009B4291" w:rsidP="009B4291">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9B4291" w:rsidRPr="00470480" w:rsidRDefault="009B4291" w:rsidP="009B4291">
      <w:pPr>
        <w:pStyle w:val="head"/>
        <w:jc w:val="center"/>
        <w:rPr>
          <w:rFonts w:ascii="Arial" w:hAnsi="Arial" w:cs="Arial"/>
          <w:b/>
          <w:bCs/>
          <w:color w:val="000000"/>
          <w:sz w:val="20"/>
          <w:szCs w:val="20"/>
        </w:rPr>
      </w:pPr>
      <w:r w:rsidRPr="00470480">
        <w:rPr>
          <w:rFonts w:ascii="Arial" w:hAnsi="Arial" w:cs="Arial"/>
          <w:b/>
          <w:bCs/>
          <w:color w:val="000000"/>
          <w:sz w:val="20"/>
          <w:szCs w:val="20"/>
          <w:u w:val="single"/>
        </w:rPr>
        <w:t>Establishment of Digital Banking Units (DBUs)</w:t>
      </w:r>
    </w:p>
    <w:p w:rsidR="009B4291" w:rsidRPr="00470480" w:rsidRDefault="009B4291" w:rsidP="009B4291">
      <w:pPr>
        <w:pStyle w:val="NormalWeb"/>
        <w:jc w:val="both"/>
        <w:rPr>
          <w:rFonts w:ascii="Arial" w:hAnsi="Arial" w:cs="Arial"/>
          <w:color w:val="000000"/>
          <w:sz w:val="20"/>
          <w:szCs w:val="20"/>
        </w:rPr>
      </w:pPr>
      <w:r w:rsidRPr="00470480">
        <w:rPr>
          <w:rFonts w:ascii="Arial" w:hAnsi="Arial" w:cs="Arial"/>
          <w:color w:val="000000"/>
          <w:sz w:val="20"/>
          <w:szCs w:val="20"/>
        </w:rPr>
        <w:t>In recent times, digital banking has emerged as the preferred banking service delivery channel in the country along with ‘brick and mortar’ banking outlets. Reserve Bank has been taking progressive measures to improve availability of digital infrastructure for banking services. In furtherance of this objective and as a part of efforts to accelerate and widen the reach of digital banking services, the concept of “Digital Banking Units” (DBUs) is being introduced by the Reserve Bank.</w:t>
      </w:r>
    </w:p>
    <w:p w:rsidR="009B4291" w:rsidRPr="00470480" w:rsidRDefault="009B4291" w:rsidP="009B4291">
      <w:pPr>
        <w:pStyle w:val="NormalWeb"/>
        <w:jc w:val="both"/>
        <w:rPr>
          <w:rFonts w:ascii="Arial" w:hAnsi="Arial" w:cs="Arial"/>
          <w:color w:val="000000"/>
          <w:sz w:val="20"/>
          <w:szCs w:val="20"/>
        </w:rPr>
      </w:pPr>
      <w:r w:rsidRPr="00470480">
        <w:rPr>
          <w:rFonts w:ascii="Arial" w:hAnsi="Arial" w:cs="Arial"/>
          <w:color w:val="000000"/>
          <w:sz w:val="20"/>
          <w:szCs w:val="20"/>
        </w:rPr>
        <w:t>2. In pursuance of announcements made in the Union Budget 2022-23, guidelines have been prepared for setting up of Digital Banking Units (DBUs) by commercial banks on the basis of recommendations of a Working Group formed by RBI which included representatives of banks and Indian Banks' Association (IBA).</w:t>
      </w:r>
    </w:p>
    <w:p w:rsidR="009B4291" w:rsidRPr="00470480" w:rsidRDefault="009B4291" w:rsidP="009B4291">
      <w:pPr>
        <w:pStyle w:val="NormalWeb"/>
        <w:jc w:val="both"/>
        <w:rPr>
          <w:rFonts w:ascii="Arial" w:hAnsi="Arial" w:cs="Arial"/>
          <w:color w:val="000000"/>
          <w:sz w:val="20"/>
          <w:szCs w:val="20"/>
        </w:rPr>
      </w:pPr>
      <w:r w:rsidRPr="00470480">
        <w:rPr>
          <w:rFonts w:ascii="Arial" w:hAnsi="Arial" w:cs="Arial"/>
          <w:color w:val="000000"/>
          <w:sz w:val="20"/>
          <w:szCs w:val="20"/>
        </w:rPr>
        <w:t>3. The guidelines for establishment of DBUs are detailed in the </w:t>
      </w:r>
      <w:hyperlink r:id="rId175" w:anchor="AN"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9B4291" w:rsidRPr="00470480" w:rsidRDefault="009B4291" w:rsidP="009B429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9B4291" w:rsidRPr="00470480" w:rsidRDefault="009B4291" w:rsidP="009B4291">
      <w:pPr>
        <w:pStyle w:val="NormalWeb"/>
        <w:rPr>
          <w:rFonts w:ascii="Arial" w:hAnsi="Arial" w:cs="Arial"/>
          <w:color w:val="000000"/>
          <w:sz w:val="20"/>
          <w:szCs w:val="20"/>
        </w:rPr>
      </w:pPr>
      <w:r w:rsidRPr="00470480">
        <w:rPr>
          <w:rFonts w:ascii="Arial" w:hAnsi="Arial" w:cs="Arial"/>
          <w:color w:val="000000"/>
          <w:sz w:val="20"/>
          <w:szCs w:val="20"/>
        </w:rPr>
        <w:t xml:space="preserve">(Prakash </w:t>
      </w:r>
      <w:proofErr w:type="spellStart"/>
      <w:r w:rsidRPr="00470480">
        <w:rPr>
          <w:rFonts w:ascii="Arial" w:hAnsi="Arial" w:cs="Arial"/>
          <w:color w:val="000000"/>
          <w:sz w:val="20"/>
          <w:szCs w:val="20"/>
        </w:rPr>
        <w:t>Baliarsingh</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9B4291" w:rsidRPr="00470480" w:rsidRDefault="009B4291" w:rsidP="009B4291">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176" w:history="1">
        <w:r w:rsidRPr="00470480">
          <w:rPr>
            <w:rStyle w:val="Hyperlink"/>
            <w:rFonts w:ascii="Arial" w:hAnsi="Arial" w:cs="Arial"/>
            <w:sz w:val="20"/>
            <w:szCs w:val="20"/>
          </w:rPr>
          <w:t>https://www.rbi.org.in/Scripts/NotificationUser.aspx?Id=12285&amp;Mode=0</w:t>
        </w:r>
      </w:hyperlink>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7F311D" w:rsidRDefault="007F311D" w:rsidP="00BE4BD6">
      <w:pPr>
        <w:spacing w:after="0"/>
        <w:jc w:val="both"/>
        <w:rPr>
          <w:rFonts w:ascii="Arial" w:hAnsi="Arial" w:cs="Arial"/>
          <w:b/>
          <w:bCs/>
          <w:color w:val="000000"/>
          <w:sz w:val="20"/>
          <w:szCs w:val="20"/>
        </w:rPr>
      </w:pPr>
    </w:p>
    <w:p w:rsidR="009B4291" w:rsidRPr="00470480" w:rsidRDefault="009B4291" w:rsidP="00BE4BD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Income Recognition, Asset Classification, Provisioning and Other Related Matters – UCBs</w:t>
      </w:r>
    </w:p>
    <w:p w:rsidR="009B4291" w:rsidRPr="00470480" w:rsidRDefault="009B4291" w:rsidP="00BE4BD6">
      <w:pPr>
        <w:spacing w:after="0"/>
        <w:jc w:val="both"/>
        <w:rPr>
          <w:rFonts w:ascii="Arial" w:hAnsi="Arial" w:cs="Arial"/>
          <w:b/>
          <w:bCs/>
          <w:color w:val="000000"/>
          <w:sz w:val="20"/>
          <w:szCs w:val="20"/>
        </w:rPr>
      </w:pPr>
    </w:p>
    <w:p w:rsidR="009B4291" w:rsidRPr="00470480" w:rsidRDefault="009B4291" w:rsidP="009B4291">
      <w:pPr>
        <w:pStyle w:val="NormalWeb"/>
        <w:jc w:val="both"/>
        <w:rPr>
          <w:rFonts w:ascii="Arial" w:hAnsi="Arial" w:cs="Arial"/>
          <w:color w:val="000000"/>
          <w:sz w:val="20"/>
          <w:szCs w:val="20"/>
        </w:rPr>
      </w:pPr>
      <w:r w:rsidRPr="00470480">
        <w:rPr>
          <w:rFonts w:ascii="Arial" w:hAnsi="Arial" w:cs="Arial"/>
          <w:color w:val="000000"/>
          <w:sz w:val="20"/>
          <w:szCs w:val="20"/>
        </w:rPr>
        <w:t>RBI/2022-23/17</w:t>
      </w:r>
      <w:r w:rsidRPr="00470480">
        <w:rPr>
          <w:rFonts w:ascii="Arial" w:hAnsi="Arial" w:cs="Arial"/>
          <w:color w:val="000000"/>
          <w:sz w:val="20"/>
          <w:szCs w:val="20"/>
        </w:rPr>
        <w:br/>
        <w:t>DOR.STR.REC.5/21.04.048/2022-23</w:t>
      </w:r>
    </w:p>
    <w:p w:rsidR="009B4291" w:rsidRPr="00470480" w:rsidRDefault="009B4291" w:rsidP="009B4291">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9B4291" w:rsidRPr="00470480" w:rsidRDefault="009B4291" w:rsidP="009B4291">
      <w:pPr>
        <w:pStyle w:val="NormalWeb"/>
        <w:rPr>
          <w:rFonts w:ascii="Arial" w:hAnsi="Arial" w:cs="Arial"/>
          <w:color w:val="000000"/>
          <w:sz w:val="20"/>
          <w:szCs w:val="20"/>
        </w:rPr>
      </w:pPr>
      <w:r w:rsidRPr="00470480">
        <w:rPr>
          <w:rFonts w:ascii="Arial" w:hAnsi="Arial" w:cs="Arial"/>
          <w:color w:val="000000"/>
          <w:sz w:val="20"/>
          <w:szCs w:val="20"/>
        </w:rPr>
        <w:t>The Chief Executive Officers</w:t>
      </w:r>
      <w:r w:rsidRPr="00470480">
        <w:rPr>
          <w:rFonts w:ascii="Arial" w:hAnsi="Arial" w:cs="Arial"/>
          <w:color w:val="000000"/>
          <w:sz w:val="20"/>
          <w:szCs w:val="20"/>
        </w:rPr>
        <w:br/>
        <w:t>All Primary (Urban) Co-operative Banks</w:t>
      </w:r>
    </w:p>
    <w:p w:rsidR="009B4291" w:rsidRPr="00470480" w:rsidRDefault="009B4291" w:rsidP="009B429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9B4291" w:rsidRPr="00470480" w:rsidRDefault="009B4291" w:rsidP="009B4291">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Income Recognition, Asset Classification, Provisioning and Other Related Matters - UCBs</w:t>
      </w:r>
    </w:p>
    <w:p w:rsidR="009B4291" w:rsidRPr="00470480" w:rsidRDefault="009B4291" w:rsidP="009B4291">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177" w:tgtFrame="_blank" w:history="1">
        <w:r w:rsidRPr="00470480">
          <w:rPr>
            <w:rStyle w:val="Hyperlink"/>
            <w:rFonts w:ascii="Arial" w:hAnsi="Arial" w:cs="Arial"/>
            <w:sz w:val="20"/>
            <w:szCs w:val="20"/>
          </w:rPr>
          <w:t>Master Circular DOR.No.STR.REC.64/21.04.048/2021-22 dated November 1, 2021 </w:t>
        </w:r>
      </w:hyperlink>
      <w:r w:rsidRPr="00470480">
        <w:rPr>
          <w:rFonts w:ascii="Arial" w:hAnsi="Arial" w:cs="Arial"/>
          <w:color w:val="000000"/>
          <w:sz w:val="20"/>
          <w:szCs w:val="20"/>
        </w:rPr>
        <w:t>on the captioned subject. The enclosed </w:t>
      </w:r>
      <w:hyperlink r:id="rId178"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on the subject issued up to March 31, 2022 as listed in the </w:t>
      </w:r>
      <w:hyperlink r:id="rId179" w:anchor="ANN_9" w:history="1">
        <w:r w:rsidRPr="00470480">
          <w:rPr>
            <w:rStyle w:val="Hyperlink"/>
            <w:rFonts w:ascii="Arial" w:hAnsi="Arial" w:cs="Arial"/>
            <w:sz w:val="20"/>
            <w:szCs w:val="20"/>
          </w:rPr>
          <w:t>Annex 9</w:t>
        </w:r>
      </w:hyperlink>
      <w:r w:rsidRPr="00470480">
        <w:rPr>
          <w:rFonts w:ascii="Arial" w:hAnsi="Arial" w:cs="Arial"/>
          <w:color w:val="000000"/>
          <w:sz w:val="20"/>
          <w:szCs w:val="20"/>
        </w:rPr>
        <w:t>.</w:t>
      </w:r>
    </w:p>
    <w:p w:rsidR="009B4291" w:rsidRPr="00470480" w:rsidRDefault="009B4291" w:rsidP="009B429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9B4291" w:rsidRPr="00470480" w:rsidRDefault="009B4291" w:rsidP="009B429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9B4291" w:rsidRPr="00470480" w:rsidRDefault="009B4291" w:rsidP="009B4291">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1942B3" w:rsidRDefault="001942B3" w:rsidP="001942B3">
      <w:pPr>
        <w:spacing w:before="240" w:after="240"/>
        <w:rPr>
          <w:rFonts w:ascii="Arial" w:hAnsi="Arial" w:cs="Arial"/>
          <w:sz w:val="20"/>
          <w:szCs w:val="20"/>
        </w:rPr>
      </w:pPr>
    </w:p>
    <w:p w:rsidR="001942B3" w:rsidRDefault="001942B3" w:rsidP="001942B3">
      <w:pPr>
        <w:spacing w:before="240" w:after="240"/>
        <w:rPr>
          <w:rFonts w:ascii="Arial" w:hAnsi="Arial" w:cs="Arial"/>
          <w:sz w:val="20"/>
          <w:szCs w:val="20"/>
        </w:rPr>
      </w:pPr>
    </w:p>
    <w:p w:rsidR="009B4291" w:rsidRPr="001942B3" w:rsidRDefault="001942B3" w:rsidP="001942B3">
      <w:pPr>
        <w:spacing w:before="240" w:after="240"/>
        <w:rPr>
          <w:rFonts w:ascii="Arial" w:hAnsi="Arial" w:cs="Arial"/>
          <w:sz w:val="20"/>
          <w:szCs w:val="20"/>
        </w:rPr>
      </w:pPr>
      <w:r>
        <w:rPr>
          <w:rFonts w:ascii="Arial" w:hAnsi="Arial" w:cs="Arial"/>
          <w:sz w:val="20"/>
          <w:szCs w:val="20"/>
        </w:rPr>
        <w:t xml:space="preserve">For the detailed Master Circular on </w:t>
      </w:r>
      <w:r w:rsidR="009B4291" w:rsidRPr="001942B3">
        <w:rPr>
          <w:rFonts w:ascii="Arial" w:hAnsi="Arial" w:cs="Arial"/>
          <w:bCs/>
          <w:color w:val="000000"/>
          <w:sz w:val="20"/>
          <w:szCs w:val="20"/>
        </w:rPr>
        <w:t>Income Recognition, Asset Classification, Provisioning and Other Related Matters</w:t>
      </w:r>
      <w:r>
        <w:rPr>
          <w:rFonts w:ascii="Arial" w:hAnsi="Arial" w:cs="Arial"/>
          <w:bCs/>
          <w:color w:val="000000"/>
          <w:sz w:val="20"/>
          <w:szCs w:val="20"/>
        </w:rPr>
        <w:t>, please refer to the link below.</w:t>
      </w:r>
    </w:p>
    <w:p w:rsidR="009B4291" w:rsidRPr="00470480" w:rsidRDefault="009B4291"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180" w:history="1">
        <w:r w:rsidRPr="00470480">
          <w:rPr>
            <w:rStyle w:val="Hyperlink"/>
            <w:rFonts w:ascii="Arial" w:hAnsi="Arial" w:cs="Arial"/>
            <w:sz w:val="20"/>
            <w:szCs w:val="20"/>
          </w:rPr>
          <w:t>https://www.rbi.org.in/Scripts/NotificationUser.aspx?Id=12283&amp;Mode=0</w:t>
        </w:r>
      </w:hyperlink>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1942B3" w:rsidRDefault="001942B3"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Housing Finance</w:t>
      </w:r>
    </w:p>
    <w:p w:rsidR="001942B3" w:rsidRDefault="001942B3" w:rsidP="001942B3">
      <w:pPr>
        <w:pStyle w:val="NormalWeb"/>
        <w:spacing w:before="0" w:beforeAutospacing="0"/>
        <w:jc w:val="both"/>
        <w:rPr>
          <w:rFonts w:ascii="Arial" w:hAnsi="Arial" w:cs="Arial"/>
          <w:color w:val="000000"/>
          <w:sz w:val="20"/>
          <w:szCs w:val="20"/>
        </w:rPr>
      </w:pPr>
    </w:p>
    <w:p w:rsidR="009B4291" w:rsidRPr="00470480" w:rsidRDefault="009B4291" w:rsidP="001942B3">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RBI/2022-23/16</w:t>
      </w:r>
      <w:r w:rsidRPr="00470480">
        <w:rPr>
          <w:rFonts w:ascii="Arial" w:hAnsi="Arial" w:cs="Arial"/>
          <w:color w:val="000000"/>
          <w:sz w:val="20"/>
          <w:szCs w:val="20"/>
        </w:rPr>
        <w:br/>
        <w:t>DOR.CRE.REC.No.06/08.12.001/2022-23</w:t>
      </w:r>
    </w:p>
    <w:p w:rsidR="009B4291" w:rsidRPr="00470480" w:rsidRDefault="009B4291" w:rsidP="001942B3">
      <w:pPr>
        <w:pStyle w:val="NormalWeb"/>
        <w:spacing w:before="0" w:beforeAutospacing="0"/>
        <w:jc w:val="right"/>
        <w:rPr>
          <w:rFonts w:ascii="Arial" w:hAnsi="Arial" w:cs="Arial"/>
          <w:color w:val="000000"/>
          <w:sz w:val="20"/>
          <w:szCs w:val="20"/>
        </w:rPr>
      </w:pPr>
      <w:r w:rsidRPr="00470480">
        <w:rPr>
          <w:rFonts w:ascii="Arial" w:hAnsi="Arial" w:cs="Arial"/>
          <w:color w:val="000000"/>
          <w:sz w:val="20"/>
          <w:szCs w:val="20"/>
        </w:rPr>
        <w:t>April 01, 2022</w:t>
      </w:r>
    </w:p>
    <w:p w:rsidR="009B4291" w:rsidRPr="00470480" w:rsidRDefault="009B4291" w:rsidP="001942B3">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All Scheduled Commercial Banks (excluding RRBs)</w:t>
      </w:r>
    </w:p>
    <w:p w:rsidR="001942B3" w:rsidRDefault="001942B3" w:rsidP="001942B3">
      <w:pPr>
        <w:pStyle w:val="NormalWeb"/>
        <w:spacing w:before="0" w:beforeAutospacing="0"/>
        <w:jc w:val="both"/>
        <w:rPr>
          <w:rFonts w:ascii="Arial" w:hAnsi="Arial" w:cs="Arial"/>
          <w:color w:val="000000"/>
          <w:sz w:val="20"/>
          <w:szCs w:val="20"/>
        </w:rPr>
      </w:pPr>
      <w:r>
        <w:rPr>
          <w:rFonts w:ascii="Arial" w:hAnsi="Arial" w:cs="Arial"/>
          <w:color w:val="000000"/>
          <w:sz w:val="20"/>
          <w:szCs w:val="20"/>
        </w:rPr>
        <w:t>Dear Sir/Madam,</w:t>
      </w:r>
    </w:p>
    <w:p w:rsidR="009B4291" w:rsidRPr="001942B3" w:rsidRDefault="009B4291" w:rsidP="001942B3">
      <w:pPr>
        <w:pStyle w:val="NormalWeb"/>
        <w:spacing w:before="0" w:beforeAutospacing="0"/>
        <w:jc w:val="center"/>
        <w:rPr>
          <w:rFonts w:ascii="Arial" w:hAnsi="Arial" w:cs="Arial"/>
          <w:color w:val="000000"/>
          <w:sz w:val="20"/>
          <w:szCs w:val="20"/>
        </w:rPr>
      </w:pPr>
      <w:r w:rsidRPr="00470480">
        <w:rPr>
          <w:rFonts w:ascii="Arial" w:hAnsi="Arial" w:cs="Arial"/>
          <w:b/>
          <w:bCs/>
          <w:color w:val="000000"/>
          <w:sz w:val="20"/>
          <w:szCs w:val="20"/>
        </w:rPr>
        <w:t>Master Circular – Housing Finance</w:t>
      </w:r>
    </w:p>
    <w:p w:rsidR="009B4291" w:rsidRPr="00470480" w:rsidRDefault="009B4291" w:rsidP="001942B3">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Please refer to the </w:t>
      </w:r>
      <w:hyperlink r:id="rId181" w:tgtFrame="_blank" w:history="1">
        <w:r w:rsidRPr="00470480">
          <w:rPr>
            <w:rStyle w:val="Hyperlink"/>
            <w:rFonts w:ascii="Arial" w:hAnsi="Arial" w:cs="Arial"/>
            <w:sz w:val="20"/>
            <w:szCs w:val="20"/>
          </w:rPr>
          <w:t>Master Circular DOR.CRE.REC.No.87/08.12.001/2021-22 dated February 18, 2022</w:t>
        </w:r>
      </w:hyperlink>
      <w:r w:rsidRPr="00470480">
        <w:rPr>
          <w:rFonts w:ascii="Arial" w:hAnsi="Arial" w:cs="Arial"/>
          <w:color w:val="000000"/>
          <w:sz w:val="20"/>
          <w:szCs w:val="20"/>
        </w:rPr>
        <w:t> consolidating the instructions / guidelines issued to banks till February 17, 2022 relating to Housing Finance. This</w:t>
      </w:r>
      <w:hyperlink r:id="rId182" w:anchor="MC" w:history="1">
        <w:r w:rsidRPr="00470480">
          <w:rPr>
            <w:rStyle w:val="Hyperlink"/>
            <w:rFonts w:ascii="Arial" w:hAnsi="Arial" w:cs="Arial"/>
            <w:sz w:val="20"/>
            <w:szCs w:val="20"/>
          </w:rPr>
          <w:t> Master Circular</w:t>
        </w:r>
      </w:hyperlink>
      <w:r w:rsidRPr="00470480">
        <w:rPr>
          <w:rFonts w:ascii="Arial" w:hAnsi="Arial" w:cs="Arial"/>
          <w:color w:val="000000"/>
          <w:sz w:val="20"/>
          <w:szCs w:val="20"/>
        </w:rPr>
        <w:t> consolidates instructions on the above matter issued up to March 31, 2022.</w:t>
      </w:r>
    </w:p>
    <w:p w:rsidR="009B4291" w:rsidRPr="00470480" w:rsidRDefault="009B4291" w:rsidP="001942B3">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Yours faithfully,</w:t>
      </w:r>
    </w:p>
    <w:p w:rsidR="009B4291" w:rsidRPr="00470480" w:rsidRDefault="009B4291" w:rsidP="001942B3">
      <w:pPr>
        <w:pStyle w:val="NormalWeb"/>
        <w:spacing w:before="0" w:beforeAutospacing="0"/>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w:t>
      </w:r>
      <w:r w:rsidR="001942B3">
        <w:rPr>
          <w:rFonts w:ascii="Arial" w:hAnsi="Arial" w:cs="Arial"/>
          <w:color w:val="000000"/>
          <w:sz w:val="20"/>
          <w:szCs w:val="20"/>
        </w:rPr>
        <w:t>n</w:t>
      </w:r>
      <w:proofErr w:type="spellEnd"/>
      <w:r w:rsidR="001942B3">
        <w:rPr>
          <w:rFonts w:ascii="Arial" w:hAnsi="Arial" w:cs="Arial"/>
          <w:color w:val="000000"/>
          <w:sz w:val="20"/>
          <w:szCs w:val="20"/>
        </w:rPr>
        <w:t xml:space="preserve"> Mishra)</w:t>
      </w:r>
      <w:r w:rsidR="001942B3">
        <w:rPr>
          <w:rFonts w:ascii="Arial" w:hAnsi="Arial" w:cs="Arial"/>
          <w:color w:val="000000"/>
          <w:sz w:val="20"/>
          <w:szCs w:val="20"/>
        </w:rPr>
        <w:br/>
        <w:t>Chief General Manager</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49"/>
        <w:gridCol w:w="6559"/>
      </w:tblGrid>
      <w:tr w:rsidR="009B4291" w:rsidRPr="00470480" w:rsidTr="009B4291">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b/>
                <w:bCs/>
                <w:color w:val="000000"/>
                <w:sz w:val="20"/>
                <w:szCs w:val="20"/>
              </w:rPr>
              <w:t>CONTENTS</w:t>
            </w:r>
          </w:p>
        </w:tc>
      </w:tr>
      <w:tr w:rsidR="009B4291" w:rsidRPr="00470480" w:rsidTr="009B4291">
        <w:trPr>
          <w:jc w:val="center"/>
        </w:trPr>
        <w:tc>
          <w:tcPr>
            <w:tcW w:w="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b/>
                <w:bCs/>
                <w:color w:val="000000"/>
                <w:sz w:val="20"/>
                <w:szCs w:val="20"/>
              </w:rPr>
              <w:t>Sr. No.</w:t>
            </w:r>
          </w:p>
        </w:tc>
        <w:tc>
          <w:tcPr>
            <w:tcW w:w="4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b/>
                <w:bCs/>
                <w:color w:val="000000"/>
                <w:sz w:val="20"/>
                <w:szCs w:val="20"/>
              </w:rPr>
              <w:t>Particulars</w:t>
            </w:r>
          </w:p>
        </w:tc>
      </w:tr>
      <w:tr w:rsidR="009B4291" w:rsidRPr="00470480" w:rsidTr="009B429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color w:val="000000"/>
                <w:sz w:val="20"/>
                <w:szCs w:val="20"/>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FD1759">
            <w:pPr>
              <w:jc w:val="both"/>
              <w:rPr>
                <w:rFonts w:ascii="Arial" w:hAnsi="Arial" w:cs="Arial"/>
                <w:color w:val="000000"/>
                <w:sz w:val="20"/>
                <w:szCs w:val="20"/>
              </w:rPr>
            </w:pPr>
            <w:hyperlink r:id="rId183" w:anchor="S1" w:history="1">
              <w:r w:rsidR="009B4291" w:rsidRPr="00470480">
                <w:rPr>
                  <w:rStyle w:val="Hyperlink"/>
                  <w:rFonts w:ascii="Arial" w:hAnsi="Arial" w:cs="Arial"/>
                  <w:sz w:val="20"/>
                  <w:szCs w:val="20"/>
                  <w:u w:val="none"/>
                </w:rPr>
                <w:t>Purpose</w:t>
              </w:r>
            </w:hyperlink>
          </w:p>
        </w:tc>
      </w:tr>
      <w:tr w:rsidR="009B4291" w:rsidRPr="00470480" w:rsidTr="009B429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color w:val="000000"/>
                <w:sz w:val="20"/>
                <w:szCs w:val="20"/>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FD1759">
            <w:pPr>
              <w:jc w:val="both"/>
              <w:rPr>
                <w:rFonts w:ascii="Arial" w:hAnsi="Arial" w:cs="Arial"/>
                <w:color w:val="000000"/>
                <w:sz w:val="20"/>
                <w:szCs w:val="20"/>
              </w:rPr>
            </w:pPr>
            <w:hyperlink r:id="rId184" w:anchor="S2" w:history="1">
              <w:r w:rsidR="009B4291" w:rsidRPr="00470480">
                <w:rPr>
                  <w:rStyle w:val="Hyperlink"/>
                  <w:rFonts w:ascii="Arial" w:hAnsi="Arial" w:cs="Arial"/>
                  <w:sz w:val="20"/>
                  <w:szCs w:val="20"/>
                  <w:u w:val="none"/>
                </w:rPr>
                <w:t>Classification</w:t>
              </w:r>
            </w:hyperlink>
          </w:p>
        </w:tc>
      </w:tr>
      <w:tr w:rsidR="009B4291" w:rsidRPr="00470480" w:rsidTr="009B429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color w:val="000000"/>
                <w:sz w:val="20"/>
                <w:szCs w:val="20"/>
              </w:rPr>
              <w:t>C</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FD1759">
            <w:pPr>
              <w:jc w:val="both"/>
              <w:rPr>
                <w:rFonts w:ascii="Arial" w:hAnsi="Arial" w:cs="Arial"/>
                <w:color w:val="000000"/>
                <w:sz w:val="20"/>
                <w:szCs w:val="20"/>
              </w:rPr>
            </w:pPr>
            <w:hyperlink r:id="rId185" w:anchor="S3" w:history="1">
              <w:r w:rsidR="009B4291" w:rsidRPr="00470480">
                <w:rPr>
                  <w:rStyle w:val="Hyperlink"/>
                  <w:rFonts w:ascii="Arial" w:hAnsi="Arial" w:cs="Arial"/>
                  <w:sz w:val="20"/>
                  <w:szCs w:val="20"/>
                  <w:u w:val="none"/>
                </w:rPr>
                <w:t>Previous instructions consolidated</w:t>
              </w:r>
            </w:hyperlink>
          </w:p>
        </w:tc>
      </w:tr>
      <w:tr w:rsidR="009B4291" w:rsidRPr="00470480" w:rsidTr="009B429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color w:val="000000"/>
                <w:sz w:val="20"/>
                <w:szCs w:val="20"/>
              </w:rPr>
              <w:t>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FD1759">
            <w:pPr>
              <w:jc w:val="both"/>
              <w:rPr>
                <w:rFonts w:ascii="Arial" w:hAnsi="Arial" w:cs="Arial"/>
                <w:color w:val="000000"/>
                <w:sz w:val="20"/>
                <w:szCs w:val="20"/>
              </w:rPr>
            </w:pPr>
            <w:hyperlink r:id="rId186" w:anchor="S4" w:history="1">
              <w:r w:rsidR="009B4291" w:rsidRPr="00470480">
                <w:rPr>
                  <w:rStyle w:val="Hyperlink"/>
                  <w:rFonts w:ascii="Arial" w:hAnsi="Arial" w:cs="Arial"/>
                  <w:sz w:val="20"/>
                  <w:szCs w:val="20"/>
                  <w:u w:val="none"/>
                </w:rPr>
                <w:t>Scope of Application</w:t>
              </w:r>
            </w:hyperlink>
          </w:p>
        </w:tc>
      </w:tr>
      <w:tr w:rsidR="009B4291" w:rsidRPr="00470480" w:rsidTr="009B429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color w:val="000000"/>
                <w:sz w:val="20"/>
                <w:szCs w:val="20"/>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FD1759">
            <w:pPr>
              <w:jc w:val="both"/>
              <w:rPr>
                <w:rFonts w:ascii="Arial" w:hAnsi="Arial" w:cs="Arial"/>
                <w:color w:val="000000"/>
                <w:sz w:val="20"/>
                <w:szCs w:val="20"/>
              </w:rPr>
            </w:pPr>
            <w:hyperlink r:id="rId187" w:anchor="S5" w:history="1">
              <w:r w:rsidR="009B4291" w:rsidRPr="00470480">
                <w:rPr>
                  <w:rStyle w:val="Hyperlink"/>
                  <w:rFonts w:ascii="Arial" w:hAnsi="Arial" w:cs="Arial"/>
                  <w:sz w:val="20"/>
                  <w:szCs w:val="20"/>
                  <w:u w:val="none"/>
                </w:rPr>
                <w:t>Introduction</w:t>
              </w:r>
            </w:hyperlink>
          </w:p>
        </w:tc>
      </w:tr>
      <w:tr w:rsidR="009B4291" w:rsidRPr="00470480" w:rsidTr="009B429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color w:val="000000"/>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FD1759">
            <w:pPr>
              <w:jc w:val="both"/>
              <w:rPr>
                <w:rFonts w:ascii="Arial" w:hAnsi="Arial" w:cs="Arial"/>
                <w:color w:val="000000"/>
                <w:sz w:val="20"/>
                <w:szCs w:val="20"/>
              </w:rPr>
            </w:pPr>
            <w:hyperlink r:id="rId188" w:anchor="S6" w:history="1">
              <w:r w:rsidR="009B4291" w:rsidRPr="00470480">
                <w:rPr>
                  <w:rStyle w:val="Hyperlink"/>
                  <w:rFonts w:ascii="Arial" w:hAnsi="Arial" w:cs="Arial"/>
                  <w:sz w:val="20"/>
                  <w:szCs w:val="20"/>
                  <w:u w:val="none"/>
                </w:rPr>
                <w:t>Various Regulations</w:t>
              </w:r>
            </w:hyperlink>
          </w:p>
        </w:tc>
      </w:tr>
      <w:tr w:rsidR="009B4291" w:rsidRPr="00470480" w:rsidTr="009B429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color w:val="000000"/>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FD1759">
            <w:pPr>
              <w:jc w:val="both"/>
              <w:rPr>
                <w:rFonts w:ascii="Arial" w:hAnsi="Arial" w:cs="Arial"/>
                <w:color w:val="000000"/>
                <w:sz w:val="20"/>
                <w:szCs w:val="20"/>
              </w:rPr>
            </w:pPr>
            <w:hyperlink r:id="rId189" w:anchor="S7" w:history="1">
              <w:r w:rsidR="009B4291" w:rsidRPr="00470480">
                <w:rPr>
                  <w:rStyle w:val="Hyperlink"/>
                  <w:rFonts w:ascii="Arial" w:hAnsi="Arial" w:cs="Arial"/>
                  <w:sz w:val="20"/>
                  <w:szCs w:val="20"/>
                  <w:u w:val="none"/>
                </w:rPr>
                <w:t>Quantum of Loan</w:t>
              </w:r>
            </w:hyperlink>
          </w:p>
        </w:tc>
      </w:tr>
      <w:tr w:rsidR="009B4291" w:rsidRPr="00470480" w:rsidTr="009B429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color w:val="000000"/>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FD1759">
            <w:pPr>
              <w:jc w:val="both"/>
              <w:rPr>
                <w:rFonts w:ascii="Arial" w:hAnsi="Arial" w:cs="Arial"/>
                <w:color w:val="000000"/>
                <w:sz w:val="20"/>
                <w:szCs w:val="20"/>
              </w:rPr>
            </w:pPr>
            <w:hyperlink r:id="rId190" w:anchor="S8" w:history="1">
              <w:r w:rsidR="009B4291" w:rsidRPr="00470480">
                <w:rPr>
                  <w:rStyle w:val="Hyperlink"/>
                  <w:rFonts w:ascii="Arial" w:hAnsi="Arial" w:cs="Arial"/>
                  <w:sz w:val="20"/>
                  <w:szCs w:val="20"/>
                  <w:u w:val="none"/>
                </w:rPr>
                <w:t>Innovative Housing Loan Products – Upfront Disbursal of Housing Loans</w:t>
              </w:r>
            </w:hyperlink>
          </w:p>
        </w:tc>
      </w:tr>
      <w:tr w:rsidR="009B4291" w:rsidRPr="00470480" w:rsidTr="009B429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color w:val="000000"/>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FD1759">
            <w:pPr>
              <w:jc w:val="both"/>
              <w:rPr>
                <w:rFonts w:ascii="Arial" w:hAnsi="Arial" w:cs="Arial"/>
                <w:color w:val="000000"/>
                <w:sz w:val="20"/>
                <w:szCs w:val="20"/>
              </w:rPr>
            </w:pPr>
            <w:hyperlink r:id="rId191" w:anchor="S9" w:history="1">
              <w:r w:rsidR="009B4291" w:rsidRPr="00470480">
                <w:rPr>
                  <w:rStyle w:val="Hyperlink"/>
                  <w:rFonts w:ascii="Arial" w:hAnsi="Arial" w:cs="Arial"/>
                  <w:sz w:val="20"/>
                  <w:szCs w:val="20"/>
                  <w:u w:val="none"/>
                </w:rPr>
                <w:t>Rate of Interest</w:t>
              </w:r>
            </w:hyperlink>
          </w:p>
        </w:tc>
      </w:tr>
      <w:tr w:rsidR="009B4291" w:rsidRPr="00470480" w:rsidTr="009B429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color w:val="000000"/>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FD1759">
            <w:pPr>
              <w:jc w:val="both"/>
              <w:rPr>
                <w:rFonts w:ascii="Arial" w:hAnsi="Arial" w:cs="Arial"/>
                <w:color w:val="000000"/>
                <w:sz w:val="20"/>
                <w:szCs w:val="20"/>
              </w:rPr>
            </w:pPr>
            <w:hyperlink r:id="rId192" w:anchor="S10" w:history="1">
              <w:r w:rsidR="009B4291" w:rsidRPr="00470480">
                <w:rPr>
                  <w:rStyle w:val="Hyperlink"/>
                  <w:rFonts w:ascii="Arial" w:hAnsi="Arial" w:cs="Arial"/>
                  <w:sz w:val="20"/>
                  <w:szCs w:val="20"/>
                  <w:u w:val="none"/>
                </w:rPr>
                <w:t>Approval from Statutory/Regulatory Authorities</w:t>
              </w:r>
            </w:hyperlink>
          </w:p>
        </w:tc>
      </w:tr>
      <w:tr w:rsidR="009B4291" w:rsidRPr="00470480" w:rsidTr="009B429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FD1759">
            <w:pPr>
              <w:jc w:val="both"/>
              <w:rPr>
                <w:rFonts w:ascii="Arial" w:hAnsi="Arial" w:cs="Arial"/>
                <w:color w:val="000000"/>
                <w:sz w:val="20"/>
                <w:szCs w:val="20"/>
              </w:rPr>
            </w:pPr>
            <w:hyperlink r:id="rId193" w:anchor="S11" w:history="1">
              <w:r w:rsidR="009B4291" w:rsidRPr="00470480">
                <w:rPr>
                  <w:rStyle w:val="Hyperlink"/>
                  <w:rFonts w:ascii="Arial" w:hAnsi="Arial" w:cs="Arial"/>
                  <w:sz w:val="20"/>
                  <w:szCs w:val="20"/>
                  <w:u w:val="none"/>
                </w:rPr>
                <w:t>Disclosure Requirements</w:t>
              </w:r>
            </w:hyperlink>
          </w:p>
        </w:tc>
      </w:tr>
      <w:tr w:rsidR="009B4291" w:rsidRPr="00470480" w:rsidTr="009B429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color w:val="000000"/>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FD1759">
            <w:pPr>
              <w:jc w:val="both"/>
              <w:rPr>
                <w:rFonts w:ascii="Arial" w:hAnsi="Arial" w:cs="Arial"/>
                <w:color w:val="000000"/>
                <w:sz w:val="20"/>
                <w:szCs w:val="20"/>
              </w:rPr>
            </w:pPr>
            <w:hyperlink r:id="rId194" w:anchor="S12" w:history="1">
              <w:r w:rsidR="009B4291" w:rsidRPr="00470480">
                <w:rPr>
                  <w:rStyle w:val="Hyperlink"/>
                  <w:rFonts w:ascii="Arial" w:hAnsi="Arial" w:cs="Arial"/>
                  <w:sz w:val="20"/>
                  <w:szCs w:val="20"/>
                  <w:u w:val="none"/>
                </w:rPr>
                <w:t>Exposure to Real Estate</w:t>
              </w:r>
            </w:hyperlink>
          </w:p>
        </w:tc>
      </w:tr>
      <w:tr w:rsidR="009B4291" w:rsidRPr="00470480" w:rsidTr="009B429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color w:val="000000"/>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FD1759">
            <w:pPr>
              <w:jc w:val="both"/>
              <w:rPr>
                <w:rFonts w:ascii="Arial" w:hAnsi="Arial" w:cs="Arial"/>
                <w:color w:val="000000"/>
                <w:sz w:val="20"/>
                <w:szCs w:val="20"/>
              </w:rPr>
            </w:pPr>
            <w:hyperlink r:id="rId195" w:anchor="S13" w:history="1">
              <w:r w:rsidR="009B4291" w:rsidRPr="00470480">
                <w:rPr>
                  <w:rStyle w:val="Hyperlink"/>
                  <w:rFonts w:ascii="Arial" w:hAnsi="Arial" w:cs="Arial"/>
                  <w:sz w:val="20"/>
                  <w:szCs w:val="20"/>
                  <w:u w:val="none"/>
                </w:rPr>
                <w:t>Housing Loans under Priority Sector</w:t>
              </w:r>
            </w:hyperlink>
          </w:p>
        </w:tc>
      </w:tr>
      <w:tr w:rsidR="009B4291" w:rsidRPr="00470480" w:rsidTr="009B429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color w:val="000000"/>
                <w:sz w:val="20"/>
                <w:szCs w:val="20"/>
              </w:rPr>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FD1759">
            <w:pPr>
              <w:jc w:val="both"/>
              <w:rPr>
                <w:rFonts w:ascii="Arial" w:hAnsi="Arial" w:cs="Arial"/>
                <w:color w:val="000000"/>
                <w:sz w:val="20"/>
                <w:szCs w:val="20"/>
              </w:rPr>
            </w:pPr>
            <w:hyperlink r:id="rId196" w:anchor="S14" w:history="1">
              <w:r w:rsidR="009B4291" w:rsidRPr="00470480">
                <w:rPr>
                  <w:rStyle w:val="Hyperlink"/>
                  <w:rFonts w:ascii="Arial" w:hAnsi="Arial" w:cs="Arial"/>
                  <w:sz w:val="20"/>
                  <w:szCs w:val="20"/>
                  <w:u w:val="none"/>
                </w:rPr>
                <w:t>Financing of Affordable Housing- Issue of long-term bonds by banks.</w:t>
              </w:r>
            </w:hyperlink>
          </w:p>
        </w:tc>
      </w:tr>
      <w:tr w:rsidR="009B4291" w:rsidRPr="00470480" w:rsidTr="009B429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color w:val="000000"/>
                <w:sz w:val="20"/>
                <w:szCs w:val="20"/>
              </w:rPr>
              <w:t>11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FD1759">
            <w:pPr>
              <w:jc w:val="both"/>
              <w:rPr>
                <w:rFonts w:ascii="Arial" w:hAnsi="Arial" w:cs="Arial"/>
                <w:color w:val="000000"/>
                <w:sz w:val="20"/>
                <w:szCs w:val="20"/>
              </w:rPr>
            </w:pPr>
            <w:hyperlink r:id="rId197" w:anchor="S15" w:history="1">
              <w:r w:rsidR="009B4291" w:rsidRPr="00470480">
                <w:rPr>
                  <w:rStyle w:val="Hyperlink"/>
                  <w:rFonts w:ascii="Arial" w:hAnsi="Arial" w:cs="Arial"/>
                  <w:sz w:val="20"/>
                  <w:szCs w:val="20"/>
                  <w:u w:val="none"/>
                </w:rPr>
                <w:t>Additional Guidelines</w:t>
              </w:r>
            </w:hyperlink>
          </w:p>
        </w:tc>
      </w:tr>
      <w:tr w:rsidR="009B4291" w:rsidRPr="00470480" w:rsidTr="009B429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9B4291">
            <w:pPr>
              <w:jc w:val="center"/>
              <w:rPr>
                <w:rFonts w:ascii="Arial" w:hAnsi="Arial" w:cs="Arial"/>
                <w:color w:val="000000"/>
                <w:sz w:val="20"/>
                <w:szCs w:val="20"/>
              </w:rPr>
            </w:pPr>
            <w:r w:rsidRPr="00470480">
              <w:rPr>
                <w:rFonts w:ascii="Arial" w:hAnsi="Arial" w:cs="Arial"/>
                <w:color w:val="000000"/>
                <w:sz w:val="20"/>
                <w:szCs w:val="20"/>
              </w:rPr>
              <w:t>12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B4291" w:rsidRPr="00470480" w:rsidRDefault="00FD1759">
            <w:pPr>
              <w:jc w:val="both"/>
              <w:rPr>
                <w:rFonts w:ascii="Arial" w:hAnsi="Arial" w:cs="Arial"/>
                <w:color w:val="000000"/>
                <w:sz w:val="20"/>
                <w:szCs w:val="20"/>
              </w:rPr>
            </w:pPr>
            <w:hyperlink r:id="rId198" w:anchor="S16" w:history="1">
              <w:r w:rsidR="009B4291" w:rsidRPr="00470480">
                <w:rPr>
                  <w:rStyle w:val="Hyperlink"/>
                  <w:rFonts w:ascii="Arial" w:hAnsi="Arial" w:cs="Arial"/>
                  <w:sz w:val="20"/>
                  <w:szCs w:val="20"/>
                  <w:u w:val="none"/>
                </w:rPr>
                <w:t>Appendix: Housing Finance circulars</w:t>
              </w:r>
            </w:hyperlink>
          </w:p>
        </w:tc>
      </w:tr>
    </w:tbl>
    <w:p w:rsidR="001942B3" w:rsidRDefault="001942B3" w:rsidP="009B4291">
      <w:pPr>
        <w:pStyle w:val="NormalWeb"/>
        <w:rPr>
          <w:rFonts w:ascii="Arial" w:hAnsi="Arial" w:cs="Arial"/>
          <w:color w:val="000000"/>
          <w:sz w:val="20"/>
          <w:szCs w:val="20"/>
        </w:rPr>
      </w:pPr>
      <w:r>
        <w:rPr>
          <w:rFonts w:ascii="Arial" w:hAnsi="Arial" w:cs="Arial"/>
          <w:color w:val="000000"/>
          <w:sz w:val="20"/>
          <w:szCs w:val="20"/>
        </w:rPr>
        <w:lastRenderedPageBreak/>
        <w:t>For more details on the headings mentioned above, refer to the link below.</w:t>
      </w:r>
    </w:p>
    <w:p w:rsidR="009B4291" w:rsidRPr="00470480" w:rsidRDefault="009B4291" w:rsidP="009B429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99" w:history="1">
        <w:r w:rsidRPr="00470480">
          <w:rPr>
            <w:rStyle w:val="Hyperlink"/>
            <w:rFonts w:ascii="Arial" w:hAnsi="Arial" w:cs="Arial"/>
            <w:sz w:val="20"/>
            <w:szCs w:val="20"/>
          </w:rPr>
          <w:t>https://www.rbi.org.in/Scripts/NotificationUser.aspx?Id=12282&amp;Mode=0</w:t>
        </w:r>
      </w:hyperlink>
    </w:p>
    <w:p w:rsidR="009B4291" w:rsidRPr="00470480" w:rsidRDefault="009B4291" w:rsidP="009B4291">
      <w:pPr>
        <w:pStyle w:val="NormalWeb"/>
        <w:rPr>
          <w:rFonts w:ascii="Arial" w:hAnsi="Arial" w:cs="Arial"/>
          <w:color w:val="000000"/>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9B4291" w:rsidRPr="00470480" w:rsidRDefault="009B4291"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1942B3" w:rsidRDefault="001942B3" w:rsidP="00BE4BD6">
      <w:pPr>
        <w:spacing w:after="0"/>
        <w:jc w:val="both"/>
        <w:rPr>
          <w:rFonts w:ascii="Arial" w:hAnsi="Arial" w:cs="Arial"/>
          <w:b/>
          <w:bCs/>
          <w:color w:val="000000"/>
          <w:sz w:val="20"/>
          <w:szCs w:val="20"/>
        </w:rPr>
      </w:pPr>
    </w:p>
    <w:p w:rsidR="00430013" w:rsidRPr="00470480" w:rsidRDefault="00430013" w:rsidP="00BE4BD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Prudential norms on Income Recognition, Asset Classification and Provisioning pertaining to Advances</w:t>
      </w:r>
    </w:p>
    <w:p w:rsidR="00430013" w:rsidRPr="00470480" w:rsidRDefault="00430013" w:rsidP="00BE4BD6">
      <w:pPr>
        <w:spacing w:after="0"/>
        <w:jc w:val="both"/>
        <w:rPr>
          <w:rFonts w:ascii="Arial" w:hAnsi="Arial" w:cs="Arial"/>
          <w:b/>
          <w:bCs/>
          <w:color w:val="000000"/>
          <w:sz w:val="20"/>
          <w:szCs w:val="20"/>
        </w:rPr>
      </w:pP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RBI/2022-23/15</w:t>
      </w:r>
      <w:r w:rsidRPr="00470480">
        <w:rPr>
          <w:rFonts w:ascii="Arial" w:hAnsi="Arial" w:cs="Arial"/>
          <w:color w:val="000000"/>
          <w:sz w:val="20"/>
          <w:szCs w:val="20"/>
        </w:rPr>
        <w:br/>
        <w:t>DOR.STR.REC.4/21.04.048/2022-23</w:t>
      </w:r>
    </w:p>
    <w:p w:rsidR="00430013" w:rsidRPr="00470480" w:rsidRDefault="00430013" w:rsidP="00430013">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All Commercial Banks (excluding RRBs)</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430013" w:rsidRPr="00470480" w:rsidRDefault="00430013" w:rsidP="00430013">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Prudential norms on Income Recognition, Asset Classification and Provisioning pertaining to Advances</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00" w:tgtFrame="_blank" w:history="1">
        <w:r w:rsidRPr="00470480">
          <w:rPr>
            <w:rStyle w:val="Hyperlink"/>
            <w:rFonts w:ascii="Arial" w:hAnsi="Arial" w:cs="Arial"/>
            <w:sz w:val="20"/>
            <w:szCs w:val="20"/>
          </w:rPr>
          <w:t>Master Circular DOR.No.STR.REC.55/21.04.048/2021-22 dated October 1, 2021</w:t>
        </w:r>
      </w:hyperlink>
      <w:r w:rsidRPr="00470480">
        <w:rPr>
          <w:rFonts w:ascii="Arial" w:hAnsi="Arial" w:cs="Arial"/>
          <w:color w:val="000000"/>
          <w:sz w:val="20"/>
          <w:szCs w:val="20"/>
        </w:rPr>
        <w:t> consolidating instructions / guidelines issued to banks till September 30, 2021 on matters relating to prudential norms on income recognition, asset classification and provisioning pertaining to advances.</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2. This </w:t>
      </w:r>
      <w:hyperlink r:id="rId201"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matters issued up to March 31, 2022. A list of circulars consolidated in this Master Circular is contained in </w:t>
      </w:r>
      <w:hyperlink r:id="rId202" w:anchor="AN5" w:history="1">
        <w:r w:rsidRPr="00470480">
          <w:rPr>
            <w:rStyle w:val="Hyperlink"/>
            <w:rFonts w:ascii="Arial" w:hAnsi="Arial" w:cs="Arial"/>
            <w:sz w:val="20"/>
            <w:szCs w:val="20"/>
          </w:rPr>
          <w:t>Annex 5</w:t>
        </w:r>
      </w:hyperlink>
      <w:r w:rsidRPr="00470480">
        <w:rPr>
          <w:rFonts w:ascii="Arial" w:hAnsi="Arial" w:cs="Arial"/>
          <w:color w:val="000000"/>
          <w:sz w:val="20"/>
          <w:szCs w:val="20"/>
        </w:rPr>
        <w:t>.</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430013" w:rsidRPr="00470480" w:rsidRDefault="00430013" w:rsidP="00430013">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Encl.: As above</w:t>
      </w:r>
    </w:p>
    <w:p w:rsidR="00430013" w:rsidRPr="001942B3" w:rsidRDefault="001942B3" w:rsidP="001942B3">
      <w:pPr>
        <w:pStyle w:val="head"/>
        <w:rPr>
          <w:rFonts w:ascii="Arial" w:hAnsi="Arial" w:cs="Arial"/>
          <w:bCs/>
          <w:color w:val="000000"/>
          <w:sz w:val="20"/>
          <w:szCs w:val="20"/>
        </w:rPr>
      </w:pPr>
      <w:r w:rsidRPr="001942B3">
        <w:rPr>
          <w:rFonts w:ascii="Arial" w:hAnsi="Arial" w:cs="Arial"/>
          <w:bCs/>
          <w:color w:val="000000"/>
          <w:sz w:val="20"/>
          <w:szCs w:val="20"/>
        </w:rPr>
        <w:t>For the detailed ‘</w:t>
      </w:r>
      <w:r w:rsidR="00430013" w:rsidRPr="001942B3">
        <w:rPr>
          <w:rFonts w:ascii="Arial" w:hAnsi="Arial" w:cs="Arial"/>
          <w:bCs/>
          <w:color w:val="000000"/>
          <w:sz w:val="20"/>
          <w:szCs w:val="20"/>
        </w:rPr>
        <w:t>MASTER CIRCULAR - PRUDENTIAL NOR</w:t>
      </w:r>
      <w:r w:rsidRPr="001942B3">
        <w:rPr>
          <w:rFonts w:ascii="Arial" w:hAnsi="Arial" w:cs="Arial"/>
          <w:bCs/>
          <w:color w:val="000000"/>
          <w:sz w:val="20"/>
          <w:szCs w:val="20"/>
        </w:rPr>
        <w:t xml:space="preserve">MS ON INCOME RECOGNITION, ASSET </w:t>
      </w:r>
      <w:r w:rsidR="00430013" w:rsidRPr="001942B3">
        <w:rPr>
          <w:rFonts w:ascii="Arial" w:hAnsi="Arial" w:cs="Arial"/>
          <w:bCs/>
          <w:color w:val="000000"/>
          <w:sz w:val="20"/>
          <w:szCs w:val="20"/>
        </w:rPr>
        <w:t>CLASSIFICATION AND PROVISIONING PERTAINING TO ADVANCES</w:t>
      </w:r>
      <w:r w:rsidRPr="001942B3">
        <w:rPr>
          <w:rFonts w:ascii="Arial" w:hAnsi="Arial" w:cs="Arial"/>
          <w:bCs/>
          <w:color w:val="000000"/>
          <w:sz w:val="20"/>
          <w:szCs w:val="20"/>
        </w:rPr>
        <w:t>’, refer to the link placed below.</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203" w:history="1">
        <w:r w:rsidRPr="00470480">
          <w:rPr>
            <w:rStyle w:val="Hyperlink"/>
            <w:rFonts w:ascii="Arial" w:hAnsi="Arial" w:cs="Arial"/>
            <w:sz w:val="20"/>
            <w:szCs w:val="20"/>
          </w:rPr>
          <w:t>https://www.rbi.org.in/Scripts/NotificationUser.aspx?Id=12281&amp;Mode=0</w:t>
        </w:r>
      </w:hyperlink>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Bank Finance to Non-Banking Financial Companies (NBFCs)</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RBI/2022-23/14</w:t>
      </w:r>
      <w:r w:rsidRPr="00470480">
        <w:rPr>
          <w:rFonts w:ascii="Arial" w:hAnsi="Arial" w:cs="Arial"/>
          <w:color w:val="000000"/>
          <w:sz w:val="20"/>
          <w:szCs w:val="20"/>
        </w:rPr>
        <w:br/>
        <w:t>DOR.CRE.REC.No.07/21.04.172/2022-23</w:t>
      </w:r>
    </w:p>
    <w:p w:rsidR="00430013" w:rsidRPr="00470480" w:rsidRDefault="00430013" w:rsidP="00430013">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All Scheduled Commercial Banks (excluding RRBs)</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430013" w:rsidRPr="00470480" w:rsidRDefault="00430013" w:rsidP="00430013">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Bank Finance to Non-Banking Financial Companies (NBFCs)</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204" w:tgtFrame="_blank" w:history="1">
        <w:r w:rsidRPr="00470480">
          <w:rPr>
            <w:rStyle w:val="Hyperlink"/>
            <w:rFonts w:ascii="Arial" w:hAnsi="Arial" w:cs="Arial"/>
            <w:sz w:val="20"/>
            <w:szCs w:val="20"/>
          </w:rPr>
          <w:t>Master Circular DOR.CRE.REC.No.77/21.04.172/2021-22 dated January 05, 2022 </w:t>
        </w:r>
      </w:hyperlink>
      <w:r w:rsidRPr="00470480">
        <w:rPr>
          <w:rFonts w:ascii="Arial" w:hAnsi="Arial" w:cs="Arial"/>
          <w:color w:val="000000"/>
          <w:sz w:val="20"/>
          <w:szCs w:val="20"/>
        </w:rPr>
        <w:t>on the captioned subject. This </w:t>
      </w:r>
      <w:hyperlink r:id="rId205"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 issued up to March 31, 2022.</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430013" w:rsidRPr="00470480" w:rsidRDefault="00430013" w:rsidP="00430013">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430013" w:rsidRPr="001942B3" w:rsidRDefault="001942B3" w:rsidP="001942B3">
      <w:pPr>
        <w:pStyle w:val="NormalWeb"/>
        <w:jc w:val="both"/>
        <w:rPr>
          <w:rFonts w:ascii="Arial" w:hAnsi="Arial" w:cs="Arial"/>
          <w:color w:val="000000"/>
          <w:sz w:val="20"/>
          <w:szCs w:val="20"/>
        </w:rPr>
      </w:pPr>
      <w:r w:rsidRPr="001942B3">
        <w:rPr>
          <w:rFonts w:ascii="Arial" w:hAnsi="Arial" w:cs="Arial"/>
          <w:color w:val="000000"/>
          <w:sz w:val="20"/>
          <w:szCs w:val="20"/>
        </w:rPr>
        <w:t>For the detailed ‘</w:t>
      </w:r>
      <w:r w:rsidR="00430013" w:rsidRPr="001942B3">
        <w:rPr>
          <w:rFonts w:ascii="Arial" w:hAnsi="Arial" w:cs="Arial"/>
          <w:bCs/>
          <w:color w:val="000000"/>
          <w:sz w:val="20"/>
          <w:szCs w:val="20"/>
        </w:rPr>
        <w:t>Master Circular on Bank Finance to Non-Banking Financial Companies (NBFCs)</w:t>
      </w:r>
      <w:r w:rsidRPr="001942B3">
        <w:rPr>
          <w:rFonts w:ascii="Arial" w:hAnsi="Arial" w:cs="Arial"/>
          <w:bCs/>
          <w:color w:val="000000"/>
          <w:sz w:val="20"/>
          <w:szCs w:val="20"/>
        </w:rPr>
        <w:t>’</w:t>
      </w:r>
      <w:r>
        <w:rPr>
          <w:rFonts w:ascii="Arial" w:hAnsi="Arial" w:cs="Arial"/>
          <w:bCs/>
          <w:color w:val="000000"/>
          <w:sz w:val="20"/>
          <w:szCs w:val="20"/>
        </w:rPr>
        <w:t>, please refer to the link below.</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206" w:history="1">
        <w:r w:rsidRPr="00470480">
          <w:rPr>
            <w:rStyle w:val="Hyperlink"/>
            <w:rFonts w:ascii="Arial" w:hAnsi="Arial" w:cs="Arial"/>
            <w:sz w:val="20"/>
            <w:szCs w:val="20"/>
          </w:rPr>
          <w:t>https://www.rbi.org.in/Scripts/NotificationUser.aspx?Id=12280&amp;Mode=0</w:t>
        </w:r>
      </w:hyperlink>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1942B3" w:rsidRDefault="001942B3" w:rsidP="00430013">
      <w:pPr>
        <w:pStyle w:val="NormalWeb"/>
        <w:jc w:val="both"/>
        <w:rPr>
          <w:rFonts w:ascii="Arial" w:hAnsi="Arial" w:cs="Arial"/>
          <w:b/>
          <w:bCs/>
          <w:color w:val="000000"/>
          <w:sz w:val="20"/>
          <w:szCs w:val="20"/>
        </w:rPr>
      </w:pPr>
    </w:p>
    <w:p w:rsidR="001942B3" w:rsidRDefault="001942B3" w:rsidP="00430013">
      <w:pPr>
        <w:pStyle w:val="NormalWeb"/>
        <w:jc w:val="both"/>
        <w:rPr>
          <w:rFonts w:ascii="Arial" w:hAnsi="Arial" w:cs="Arial"/>
          <w:b/>
          <w:bCs/>
          <w:color w:val="000000"/>
          <w:sz w:val="20"/>
          <w:szCs w:val="20"/>
        </w:rPr>
      </w:pPr>
    </w:p>
    <w:p w:rsidR="001942B3" w:rsidRDefault="001942B3" w:rsidP="00430013">
      <w:pPr>
        <w:pStyle w:val="NormalWeb"/>
        <w:jc w:val="both"/>
        <w:rPr>
          <w:rFonts w:ascii="Arial" w:hAnsi="Arial" w:cs="Arial"/>
          <w:b/>
          <w:bCs/>
          <w:color w:val="000000"/>
          <w:sz w:val="20"/>
          <w:szCs w:val="20"/>
        </w:rPr>
      </w:pPr>
    </w:p>
    <w:p w:rsidR="00430013" w:rsidRPr="00470480" w:rsidRDefault="00430013" w:rsidP="00430013">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Basel III Capital Regulations</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RBI/2022-23/12</w:t>
      </w:r>
      <w:r w:rsidRPr="00470480">
        <w:rPr>
          <w:rFonts w:ascii="Arial" w:hAnsi="Arial" w:cs="Arial"/>
          <w:color w:val="000000"/>
          <w:sz w:val="20"/>
          <w:szCs w:val="20"/>
        </w:rPr>
        <w:br/>
        <w:t>DOR.CAP.REC.3/21.06.201/2022-23</w:t>
      </w:r>
    </w:p>
    <w:p w:rsidR="00430013" w:rsidRPr="00470480" w:rsidRDefault="00430013" w:rsidP="00430013">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430013" w:rsidRPr="00470480" w:rsidRDefault="00430013" w:rsidP="00430013">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(Excluding Small Finance Banks, Payments Banks</w:t>
      </w:r>
      <w:r w:rsidRPr="00470480">
        <w:rPr>
          <w:rFonts w:ascii="Arial" w:hAnsi="Arial" w:cs="Arial"/>
          <w:color w:val="000000"/>
          <w:sz w:val="20"/>
          <w:szCs w:val="20"/>
        </w:rPr>
        <w:br/>
        <w:t>and Regional Rural Banks)</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430013" w:rsidRPr="00470480" w:rsidRDefault="00430013" w:rsidP="00430013">
      <w:pPr>
        <w:pStyle w:val="NormalWeb"/>
        <w:jc w:val="center"/>
        <w:rPr>
          <w:rFonts w:ascii="Arial" w:hAnsi="Arial" w:cs="Arial"/>
          <w:color w:val="000000"/>
          <w:sz w:val="20"/>
          <w:szCs w:val="20"/>
        </w:rPr>
      </w:pPr>
      <w:r w:rsidRPr="00470480">
        <w:rPr>
          <w:rStyle w:val="Strong"/>
          <w:rFonts w:ascii="Arial" w:hAnsi="Arial" w:cs="Arial"/>
          <w:color w:val="000000"/>
          <w:sz w:val="20"/>
          <w:szCs w:val="20"/>
        </w:rPr>
        <w:t>Master Circular – Basel III Capital Regulations</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07" w:tgtFrame="_blank" w:history="1">
        <w:r w:rsidRPr="00470480">
          <w:rPr>
            <w:rStyle w:val="Hyperlink"/>
            <w:rFonts w:ascii="Arial" w:hAnsi="Arial" w:cs="Arial"/>
            <w:sz w:val="20"/>
            <w:szCs w:val="20"/>
          </w:rPr>
          <w:t>Master Circular No. DBR.No.BP.BC.1/21.06.201/2015-16 dated July 1, 2015</w:t>
        </w:r>
      </w:hyperlink>
      <w:r w:rsidRPr="00470480">
        <w:rPr>
          <w:rFonts w:ascii="Arial" w:hAnsi="Arial" w:cs="Arial"/>
          <w:color w:val="000000"/>
          <w:sz w:val="20"/>
          <w:szCs w:val="20"/>
        </w:rPr>
        <w:t>, consolidating therein the prudential guidelines on Basel III capital adequacy issued to banks till June 30, 2015.</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2. This </w:t>
      </w:r>
      <w:hyperlink r:id="rId208" w:tgtFrame="_blank"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matters issued as on date. A list of circulars consolidated in this Master Circular is contained in Annex 27.</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3. Small Finance Banks and Payments Banks may refer to their respective licensing guidelines and operating guidelines issued by Reserve Bank, for prudential guidelines on capital adequacy. </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430013" w:rsidRPr="00470480" w:rsidRDefault="00430013" w:rsidP="00430013">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Encl.: As above</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209" w:history="1">
        <w:r w:rsidRPr="00470480">
          <w:rPr>
            <w:rStyle w:val="Hyperlink"/>
            <w:rFonts w:ascii="Arial" w:hAnsi="Arial" w:cs="Arial"/>
            <w:sz w:val="20"/>
            <w:szCs w:val="20"/>
          </w:rPr>
          <w:t>https://www.rbi.org.in/Scripts/NotificationUser.aspx?Id=12278&amp;Mode=0</w:t>
        </w:r>
      </w:hyperlink>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430013">
      <w:pPr>
        <w:pStyle w:val="NormalWeb"/>
        <w:jc w:val="both"/>
        <w:rPr>
          <w:rFonts w:ascii="Arial" w:hAnsi="Arial" w:cs="Arial"/>
          <w:color w:val="000000"/>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430013" w:rsidRPr="00470480" w:rsidRDefault="00430013" w:rsidP="00BE4BD6">
      <w:pPr>
        <w:spacing w:after="0"/>
        <w:jc w:val="both"/>
        <w:rPr>
          <w:rFonts w:ascii="Arial" w:hAnsi="Arial" w:cs="Arial"/>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430013" w:rsidRPr="00470480" w:rsidRDefault="00430013" w:rsidP="00BE4BD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Lead Bank Scheme</w:t>
      </w:r>
    </w:p>
    <w:p w:rsidR="00430013" w:rsidRPr="00470480" w:rsidRDefault="00430013" w:rsidP="00BE4BD6">
      <w:pPr>
        <w:spacing w:after="0"/>
        <w:jc w:val="both"/>
        <w:rPr>
          <w:rFonts w:ascii="Arial" w:hAnsi="Arial" w:cs="Arial"/>
          <w:b/>
          <w:bCs/>
          <w:color w:val="000000"/>
          <w:sz w:val="20"/>
          <w:szCs w:val="20"/>
        </w:rPr>
      </w:pP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RBI/2022-23/11</w:t>
      </w:r>
      <w:r w:rsidRPr="00470480">
        <w:rPr>
          <w:rFonts w:ascii="Arial" w:hAnsi="Arial" w:cs="Arial"/>
          <w:color w:val="000000"/>
          <w:sz w:val="20"/>
          <w:szCs w:val="20"/>
        </w:rPr>
        <w:br/>
        <w:t>FIDD.CO.LBS.BC.No.02/02.01.001/2022-23</w:t>
      </w:r>
    </w:p>
    <w:p w:rsidR="00430013" w:rsidRPr="00470480" w:rsidRDefault="00430013" w:rsidP="00430013">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430013" w:rsidRPr="00470480" w:rsidRDefault="00430013" w:rsidP="00430013">
      <w:pPr>
        <w:pStyle w:val="NormalWeb"/>
        <w:rPr>
          <w:rFonts w:ascii="Arial" w:hAnsi="Arial" w:cs="Arial"/>
          <w:color w:val="000000"/>
          <w:sz w:val="20"/>
          <w:szCs w:val="20"/>
        </w:rPr>
      </w:pPr>
      <w:r w:rsidRPr="00470480">
        <w:rPr>
          <w:rFonts w:ascii="Arial" w:hAnsi="Arial" w:cs="Arial"/>
          <w:color w:val="000000"/>
          <w:sz w:val="20"/>
          <w:szCs w:val="20"/>
        </w:rPr>
        <w:t>The Chairman/ Managing Director/ Chief Executive Officer</w:t>
      </w:r>
      <w:r w:rsidRPr="00470480">
        <w:rPr>
          <w:rFonts w:ascii="Arial" w:hAnsi="Arial" w:cs="Arial"/>
          <w:color w:val="000000"/>
          <w:sz w:val="20"/>
          <w:szCs w:val="20"/>
        </w:rPr>
        <w:br/>
        <w:t>SLBC/ UTLBC Convenor Banks / Lead Banks</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430013" w:rsidRPr="00470480" w:rsidRDefault="00430013" w:rsidP="00430013">
      <w:pPr>
        <w:pStyle w:val="head"/>
        <w:jc w:val="center"/>
        <w:rPr>
          <w:rFonts w:ascii="Arial" w:hAnsi="Arial" w:cs="Arial"/>
          <w:b/>
          <w:bCs/>
          <w:color w:val="000000"/>
          <w:sz w:val="20"/>
          <w:szCs w:val="20"/>
        </w:rPr>
      </w:pPr>
      <w:r w:rsidRPr="00470480">
        <w:rPr>
          <w:rFonts w:ascii="Arial" w:hAnsi="Arial" w:cs="Arial"/>
          <w:b/>
          <w:bCs/>
          <w:color w:val="000000"/>
          <w:sz w:val="20"/>
          <w:szCs w:val="20"/>
          <w:u w:val="single"/>
        </w:rPr>
        <w:t>Master Circular – Lead Bank Scheme</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The Reserve Bank of India has issued a number of guidelines/instructions on Lead Bank Scheme from time to time. This </w:t>
      </w:r>
      <w:hyperlink r:id="rId210"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the relevant guidelines/ instructions issued by Reserve Bank of India on Lead Bank Scheme up to March 31, 2022 as listed in the </w:t>
      </w:r>
      <w:hyperlink r:id="rId211" w:anchor="AP1" w:history="1">
        <w:r w:rsidRPr="00470480">
          <w:rPr>
            <w:rStyle w:val="Hyperlink"/>
            <w:rFonts w:ascii="Arial" w:hAnsi="Arial" w:cs="Arial"/>
            <w:sz w:val="20"/>
            <w:szCs w:val="20"/>
          </w:rPr>
          <w:t>Appendix I</w:t>
        </w:r>
      </w:hyperlink>
      <w:r w:rsidRPr="00470480">
        <w:rPr>
          <w:rFonts w:ascii="Arial" w:hAnsi="Arial" w:cs="Arial"/>
          <w:color w:val="000000"/>
          <w:sz w:val="20"/>
          <w:szCs w:val="20"/>
        </w:rPr>
        <w:t>.</w:t>
      </w:r>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2. This Master Circular has been placed on the RBI website </w:t>
      </w:r>
      <w:hyperlink r:id="rId212" w:tgtFrame="_blank" w:history="1">
        <w:r w:rsidRPr="00470480">
          <w:rPr>
            <w:rStyle w:val="Hyperlink"/>
            <w:rFonts w:ascii="Arial" w:hAnsi="Arial" w:cs="Arial"/>
            <w:sz w:val="20"/>
            <w:szCs w:val="20"/>
          </w:rPr>
          <w:t>https://www.rbi.org.in</w:t>
        </w:r>
      </w:hyperlink>
    </w:p>
    <w:p w:rsidR="00430013" w:rsidRPr="00470480" w:rsidRDefault="00430013" w:rsidP="00430013">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430013" w:rsidRPr="00470480" w:rsidRDefault="00430013" w:rsidP="00430013">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Sonali</w:t>
      </w:r>
      <w:proofErr w:type="spellEnd"/>
      <w:r w:rsidRPr="00470480">
        <w:rPr>
          <w:rFonts w:ascii="Arial" w:hAnsi="Arial" w:cs="Arial"/>
          <w:color w:val="000000"/>
          <w:sz w:val="20"/>
          <w:szCs w:val="20"/>
        </w:rPr>
        <w:t xml:space="preserve"> Sen Gupta)</w:t>
      </w:r>
      <w:r w:rsidRPr="00470480">
        <w:rPr>
          <w:rFonts w:ascii="Arial" w:hAnsi="Arial" w:cs="Arial"/>
          <w:color w:val="000000"/>
          <w:sz w:val="20"/>
          <w:szCs w:val="20"/>
        </w:rPr>
        <w:br/>
        <w:t>Chief General Manager-in-Charge</w:t>
      </w:r>
    </w:p>
    <w:p w:rsidR="00091F3D" w:rsidRDefault="00091F3D" w:rsidP="00091F3D">
      <w:pPr>
        <w:pStyle w:val="NormalWeb"/>
        <w:jc w:val="both"/>
        <w:rPr>
          <w:rFonts w:ascii="Arial" w:hAnsi="Arial" w:cs="Arial"/>
          <w:color w:val="000000"/>
          <w:sz w:val="20"/>
          <w:szCs w:val="20"/>
        </w:rPr>
      </w:pPr>
      <w:r>
        <w:rPr>
          <w:rFonts w:ascii="Arial" w:hAnsi="Arial" w:cs="Arial"/>
          <w:color w:val="000000"/>
          <w:sz w:val="20"/>
          <w:szCs w:val="20"/>
        </w:rPr>
        <w:t>Encl.: As above</w:t>
      </w:r>
    </w:p>
    <w:p w:rsidR="00091F3D" w:rsidRPr="00091F3D" w:rsidRDefault="00091F3D" w:rsidP="00091F3D">
      <w:pPr>
        <w:pStyle w:val="NormalWeb"/>
        <w:jc w:val="both"/>
        <w:rPr>
          <w:rFonts w:ascii="Arial" w:hAnsi="Arial" w:cs="Arial"/>
          <w:color w:val="000000"/>
          <w:sz w:val="20"/>
          <w:szCs w:val="20"/>
        </w:rPr>
      </w:pPr>
      <w:r>
        <w:rPr>
          <w:rFonts w:ascii="Arial" w:hAnsi="Arial" w:cs="Arial"/>
          <w:color w:val="000000"/>
          <w:sz w:val="20"/>
          <w:szCs w:val="20"/>
        </w:rPr>
        <w:t>For the consolidated Master Circular on Lead Bank Scheme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31</w:t>
      </w:r>
      <w:r w:rsidRPr="00091F3D">
        <w:rPr>
          <w:rFonts w:ascii="Arial" w:hAnsi="Arial" w:cs="Arial"/>
          <w:color w:val="000000"/>
          <w:sz w:val="20"/>
          <w:szCs w:val="20"/>
          <w:vertAlign w:val="superscript"/>
        </w:rPr>
        <w:t>st</w:t>
      </w:r>
      <w:r>
        <w:rPr>
          <w:rFonts w:ascii="Arial" w:hAnsi="Arial" w:cs="Arial"/>
          <w:color w:val="000000"/>
          <w:sz w:val="20"/>
          <w:szCs w:val="20"/>
        </w:rPr>
        <w:t xml:space="preserve"> March, 2022) refer to the link below.</w:t>
      </w:r>
    </w:p>
    <w:p w:rsidR="00430013" w:rsidRPr="00470480" w:rsidRDefault="00C16E00"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213" w:history="1">
        <w:r w:rsidRPr="00470480">
          <w:rPr>
            <w:rStyle w:val="Hyperlink"/>
            <w:rFonts w:ascii="Arial" w:hAnsi="Arial" w:cs="Arial"/>
            <w:sz w:val="20"/>
            <w:szCs w:val="20"/>
          </w:rPr>
          <w:t>https://www.rbi.org.in/Scripts/NotificationUser.aspx?Id=12277&amp;Mode=0</w:t>
        </w:r>
      </w:hyperlink>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sz w:val="20"/>
          <w:szCs w:val="20"/>
        </w:rPr>
      </w:pPr>
    </w:p>
    <w:p w:rsidR="00C16E00" w:rsidRPr="00470480" w:rsidRDefault="00C16E00" w:rsidP="00BE4BD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Guarantees and Co-acceptances</w:t>
      </w:r>
    </w:p>
    <w:p w:rsidR="00C16E00" w:rsidRPr="00470480" w:rsidRDefault="00C16E00" w:rsidP="00BE4BD6">
      <w:pPr>
        <w:spacing w:after="0"/>
        <w:jc w:val="both"/>
        <w:rPr>
          <w:rFonts w:ascii="Arial" w:hAnsi="Arial" w:cs="Arial"/>
          <w:b/>
          <w:bCs/>
          <w:color w:val="000000"/>
          <w:sz w:val="20"/>
          <w:szCs w:val="20"/>
        </w:rPr>
      </w:pPr>
    </w:p>
    <w:p w:rsidR="00C16E00" w:rsidRPr="00470480" w:rsidRDefault="00C16E00" w:rsidP="00C16E00">
      <w:pPr>
        <w:pStyle w:val="NormalWeb"/>
        <w:jc w:val="both"/>
        <w:rPr>
          <w:rFonts w:ascii="Arial" w:hAnsi="Arial" w:cs="Arial"/>
          <w:color w:val="000000"/>
          <w:sz w:val="20"/>
          <w:szCs w:val="20"/>
        </w:rPr>
      </w:pPr>
      <w:r w:rsidRPr="00470480">
        <w:rPr>
          <w:rFonts w:ascii="Arial" w:hAnsi="Arial" w:cs="Arial"/>
          <w:color w:val="000000"/>
          <w:sz w:val="20"/>
          <w:szCs w:val="20"/>
        </w:rPr>
        <w:t>RBI/2022-23/10</w:t>
      </w:r>
      <w:r w:rsidRPr="00470480">
        <w:rPr>
          <w:rFonts w:ascii="Arial" w:hAnsi="Arial" w:cs="Arial"/>
          <w:color w:val="000000"/>
          <w:sz w:val="20"/>
          <w:szCs w:val="20"/>
        </w:rPr>
        <w:br/>
        <w:t>DOR.STR.REC.8/13.07.010/2022-23</w:t>
      </w:r>
    </w:p>
    <w:p w:rsidR="00C16E00" w:rsidRPr="00470480" w:rsidRDefault="00C16E00" w:rsidP="00C16E00">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C16E00" w:rsidRPr="00470480" w:rsidRDefault="00C16E00" w:rsidP="00C16E00">
      <w:pPr>
        <w:pStyle w:val="head"/>
        <w:rPr>
          <w:rFonts w:ascii="Arial" w:hAnsi="Arial" w:cs="Arial"/>
          <w:b/>
          <w:bCs/>
          <w:color w:val="000000"/>
          <w:sz w:val="20"/>
          <w:szCs w:val="20"/>
        </w:rPr>
      </w:pPr>
      <w:r w:rsidRPr="00470480">
        <w:rPr>
          <w:rFonts w:ascii="Arial" w:hAnsi="Arial" w:cs="Arial"/>
          <w:b/>
          <w:bCs/>
          <w:color w:val="000000"/>
          <w:sz w:val="20"/>
          <w:szCs w:val="20"/>
        </w:rPr>
        <w:t>All Scheduled Commercial Banks</w:t>
      </w:r>
      <w:r w:rsidRPr="00470480">
        <w:rPr>
          <w:rFonts w:ascii="Arial" w:hAnsi="Arial" w:cs="Arial"/>
          <w:b/>
          <w:bCs/>
          <w:color w:val="000000"/>
          <w:sz w:val="20"/>
          <w:szCs w:val="20"/>
        </w:rPr>
        <w:br/>
        <w:t>(excluding Payments Banks and RRBs)</w:t>
      </w:r>
    </w:p>
    <w:p w:rsidR="00C16E00" w:rsidRPr="00470480" w:rsidRDefault="00C16E00" w:rsidP="00C16E00">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C16E00" w:rsidRPr="00470480" w:rsidRDefault="00C16E00" w:rsidP="00C16E00">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Guarantees and Co-acceptances</w:t>
      </w:r>
    </w:p>
    <w:p w:rsidR="00C16E00" w:rsidRPr="00470480" w:rsidRDefault="00C16E00" w:rsidP="00C16E00">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14" w:tgtFrame="_blank" w:history="1">
        <w:r w:rsidRPr="00470480">
          <w:rPr>
            <w:rStyle w:val="Hyperlink"/>
            <w:rFonts w:ascii="Arial" w:hAnsi="Arial" w:cs="Arial"/>
            <w:sz w:val="20"/>
            <w:szCs w:val="20"/>
          </w:rPr>
          <w:t>Master Circular DOR.STR.REC.66/13.07.010/2021-22 dated November 9, 2021</w:t>
        </w:r>
      </w:hyperlink>
      <w:r w:rsidRPr="00470480">
        <w:rPr>
          <w:rFonts w:ascii="Arial" w:hAnsi="Arial" w:cs="Arial"/>
          <w:color w:val="000000"/>
          <w:sz w:val="20"/>
          <w:szCs w:val="20"/>
        </w:rPr>
        <w:t> consolidating the instructions / guidelines issued to banks till November 8, 2021, relating to Guarantees and Co-acceptances. This </w:t>
      </w:r>
      <w:hyperlink r:id="rId215"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the instructions on the above matter issued up to March 31, 2022.</w:t>
      </w:r>
    </w:p>
    <w:p w:rsidR="00C16E00" w:rsidRPr="00470480" w:rsidRDefault="00C16E00" w:rsidP="00C16E00">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C16E00" w:rsidRDefault="00C16E00" w:rsidP="00C16E00">
      <w:pPr>
        <w:pStyle w:val="NormalWeb"/>
        <w:rPr>
          <w:rFonts w:ascii="Arial" w:hAnsi="Arial" w:cs="Arial"/>
          <w:color w:val="000000"/>
          <w:sz w:val="20"/>
          <w:szCs w:val="20"/>
        </w:rPr>
      </w:pP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091F3D" w:rsidRDefault="00091F3D" w:rsidP="00C16E00">
      <w:pPr>
        <w:pStyle w:val="NormalWeb"/>
        <w:rPr>
          <w:rFonts w:ascii="Arial" w:hAnsi="Arial" w:cs="Arial"/>
          <w:color w:val="000000"/>
          <w:sz w:val="20"/>
          <w:szCs w:val="20"/>
        </w:rPr>
      </w:pPr>
    </w:p>
    <w:p w:rsidR="00783FC1" w:rsidRPr="00091F3D" w:rsidRDefault="00091F3D" w:rsidP="00091F3D">
      <w:pPr>
        <w:pStyle w:val="NormalWeb"/>
        <w:rPr>
          <w:rFonts w:ascii="Arial" w:hAnsi="Arial" w:cs="Arial"/>
          <w:color w:val="000000"/>
          <w:sz w:val="20"/>
          <w:szCs w:val="20"/>
        </w:rPr>
      </w:pPr>
      <w:r>
        <w:rPr>
          <w:rFonts w:ascii="Arial" w:hAnsi="Arial" w:cs="Arial"/>
          <w:color w:val="000000"/>
          <w:sz w:val="20"/>
          <w:szCs w:val="20"/>
        </w:rPr>
        <w:t>For the detailed Master Circular, refer to the link below.</w:t>
      </w:r>
    </w:p>
    <w:p w:rsidR="00C16E00" w:rsidRPr="00470480" w:rsidRDefault="00783FC1"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216" w:history="1">
        <w:r w:rsidRPr="00470480">
          <w:rPr>
            <w:rStyle w:val="Hyperlink"/>
            <w:rFonts w:ascii="Arial" w:hAnsi="Arial" w:cs="Arial"/>
            <w:sz w:val="20"/>
            <w:szCs w:val="20"/>
          </w:rPr>
          <w:t>https://www.rbi.org.in/Scripts/NotificationUser.aspx?Id=12276&amp;Mode=0</w:t>
        </w:r>
      </w:hyperlink>
    </w:p>
    <w:p w:rsidR="00783FC1" w:rsidRPr="00470480" w:rsidRDefault="00783FC1" w:rsidP="00BE4BD6">
      <w:pPr>
        <w:spacing w:after="0"/>
        <w:jc w:val="both"/>
        <w:rPr>
          <w:rFonts w:ascii="Arial" w:hAnsi="Arial" w:cs="Arial"/>
          <w:sz w:val="20"/>
          <w:szCs w:val="20"/>
        </w:rPr>
      </w:pPr>
    </w:p>
    <w:p w:rsidR="00783FC1" w:rsidRPr="00470480" w:rsidRDefault="00783FC1" w:rsidP="00BE4BD6">
      <w:pPr>
        <w:spacing w:after="0"/>
        <w:jc w:val="both"/>
        <w:rPr>
          <w:rFonts w:ascii="Arial" w:hAnsi="Arial" w:cs="Arial"/>
          <w:sz w:val="20"/>
          <w:szCs w:val="20"/>
        </w:rPr>
      </w:pPr>
    </w:p>
    <w:p w:rsidR="00783FC1" w:rsidRPr="00470480" w:rsidRDefault="00783FC1" w:rsidP="00BE4BD6">
      <w:pPr>
        <w:spacing w:after="0"/>
        <w:jc w:val="both"/>
        <w:rPr>
          <w:rFonts w:ascii="Arial" w:hAnsi="Arial" w:cs="Arial"/>
          <w:sz w:val="20"/>
          <w:szCs w:val="20"/>
        </w:rPr>
      </w:pPr>
    </w:p>
    <w:p w:rsidR="00783FC1" w:rsidRPr="00470480" w:rsidRDefault="00783FC1" w:rsidP="00BE4BD6">
      <w:pPr>
        <w:spacing w:after="0"/>
        <w:jc w:val="both"/>
        <w:rPr>
          <w:rFonts w:ascii="Arial" w:hAnsi="Arial" w:cs="Arial"/>
          <w:sz w:val="20"/>
          <w:szCs w:val="20"/>
        </w:rPr>
      </w:pPr>
    </w:p>
    <w:p w:rsidR="00783FC1" w:rsidRPr="00470480" w:rsidRDefault="00783FC1" w:rsidP="00BE4BD6">
      <w:pPr>
        <w:spacing w:after="0"/>
        <w:jc w:val="both"/>
        <w:rPr>
          <w:rFonts w:ascii="Arial" w:hAnsi="Arial" w:cs="Arial"/>
          <w:sz w:val="20"/>
          <w:szCs w:val="20"/>
        </w:rPr>
      </w:pPr>
    </w:p>
    <w:p w:rsidR="007F311D" w:rsidRDefault="007F311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091F3D" w:rsidRDefault="00091F3D" w:rsidP="00BE4BD6">
      <w:pPr>
        <w:spacing w:after="0"/>
        <w:jc w:val="both"/>
        <w:rPr>
          <w:rFonts w:ascii="Arial" w:hAnsi="Arial" w:cs="Arial"/>
          <w:b/>
          <w:bCs/>
          <w:color w:val="000000"/>
          <w:sz w:val="20"/>
          <w:szCs w:val="20"/>
        </w:rPr>
      </w:pPr>
    </w:p>
    <w:p w:rsidR="00783FC1" w:rsidRPr="00470480" w:rsidRDefault="00783FC1" w:rsidP="00BE4BD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Disbursement of Government Pension by Agency Banks</w:t>
      </w:r>
    </w:p>
    <w:p w:rsidR="00783FC1" w:rsidRPr="00470480" w:rsidRDefault="00783FC1" w:rsidP="00BE4BD6">
      <w:pPr>
        <w:spacing w:after="0"/>
        <w:jc w:val="both"/>
        <w:rPr>
          <w:rFonts w:ascii="Arial" w:hAnsi="Arial" w:cs="Arial"/>
          <w:b/>
          <w:bCs/>
          <w:color w:val="000000"/>
          <w:sz w:val="20"/>
          <w:szCs w:val="20"/>
        </w:rPr>
      </w:pP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RBI/2022-23/09</w:t>
      </w:r>
      <w:r w:rsidRPr="00470480">
        <w:rPr>
          <w:rFonts w:ascii="Arial" w:hAnsi="Arial" w:cs="Arial"/>
          <w:color w:val="000000"/>
          <w:sz w:val="20"/>
          <w:szCs w:val="20"/>
        </w:rPr>
        <w:br/>
        <w:t>DGBA.GBD.No.S2/31.02.007/2022-23</w:t>
      </w:r>
    </w:p>
    <w:p w:rsidR="00783FC1" w:rsidRPr="00470480" w:rsidRDefault="00783FC1" w:rsidP="00783FC1">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All Agency Banks</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783FC1" w:rsidRPr="00470480" w:rsidRDefault="00783FC1" w:rsidP="00783FC1">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Disbursement of Government Pension by Agency Banks</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217" w:tgtFrame="_blank" w:history="1">
        <w:r w:rsidRPr="00470480">
          <w:rPr>
            <w:rStyle w:val="Hyperlink"/>
            <w:rFonts w:ascii="Arial" w:hAnsi="Arial" w:cs="Arial"/>
            <w:sz w:val="20"/>
            <w:szCs w:val="20"/>
          </w:rPr>
          <w:t>Master Circular RBI/2021-22/08 dated April 01, 2021</w:t>
        </w:r>
      </w:hyperlink>
      <w:r w:rsidRPr="00470480">
        <w:rPr>
          <w:rFonts w:ascii="Arial" w:hAnsi="Arial" w:cs="Arial"/>
          <w:color w:val="000000"/>
          <w:sz w:val="20"/>
          <w:szCs w:val="20"/>
        </w:rPr>
        <w:t> (updated as on May 17, 2021) on the above subject. We have now revised and updated the Master Circular which consolidates important instructions on the subject issued by the Reserve Bank of India till March 31, 2022.</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2. A copy of the revised </w:t>
      </w:r>
      <w:hyperlink r:id="rId218"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is enclosed for your information. This circular may also be downloaded from our website </w:t>
      </w:r>
      <w:hyperlink r:id="rId219" w:tgtFrame="_blank" w:history="1">
        <w:r w:rsidRPr="00470480">
          <w:rPr>
            <w:rStyle w:val="Hyperlink"/>
            <w:rFonts w:ascii="Arial" w:hAnsi="Arial" w:cs="Arial"/>
            <w:sz w:val="20"/>
            <w:szCs w:val="20"/>
          </w:rPr>
          <w:t>https://mastercirculars.rbi.org.in</w:t>
        </w:r>
      </w:hyperlink>
      <w:r w:rsidRPr="00470480">
        <w:rPr>
          <w:rFonts w:ascii="Arial" w:hAnsi="Arial" w:cs="Arial"/>
          <w:color w:val="000000"/>
          <w:sz w:val="20"/>
          <w:szCs w:val="20"/>
        </w:rPr>
        <w:t>.</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83FC1" w:rsidRPr="00470480" w:rsidRDefault="00783FC1" w:rsidP="00783FC1">
      <w:pPr>
        <w:pStyle w:val="NormalWeb"/>
        <w:rPr>
          <w:rFonts w:ascii="Arial" w:hAnsi="Arial" w:cs="Arial"/>
          <w:color w:val="000000"/>
          <w:sz w:val="20"/>
          <w:szCs w:val="20"/>
        </w:rPr>
      </w:pPr>
      <w:r w:rsidRPr="00470480">
        <w:rPr>
          <w:rFonts w:ascii="Arial" w:hAnsi="Arial" w:cs="Arial"/>
          <w:color w:val="000000"/>
          <w:sz w:val="20"/>
          <w:szCs w:val="20"/>
        </w:rPr>
        <w:t xml:space="preserve">(R. </w:t>
      </w:r>
      <w:proofErr w:type="spellStart"/>
      <w:r w:rsidRPr="00470480">
        <w:rPr>
          <w:rFonts w:ascii="Arial" w:hAnsi="Arial" w:cs="Arial"/>
          <w:color w:val="000000"/>
          <w:sz w:val="20"/>
          <w:szCs w:val="20"/>
        </w:rPr>
        <w:t>Kamalakannan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Encl.: As above</w:t>
      </w:r>
    </w:p>
    <w:p w:rsidR="00536CF8" w:rsidRDefault="00536CF8" w:rsidP="00091F3D">
      <w:pPr>
        <w:pStyle w:val="head"/>
        <w:rPr>
          <w:rFonts w:ascii="Arial" w:hAnsi="Arial" w:cs="Arial"/>
          <w:bCs/>
          <w:color w:val="000000"/>
          <w:sz w:val="20"/>
          <w:szCs w:val="20"/>
        </w:rPr>
      </w:pPr>
    </w:p>
    <w:p w:rsidR="00783FC1" w:rsidRPr="00091F3D" w:rsidRDefault="00091F3D" w:rsidP="00091F3D">
      <w:pPr>
        <w:pStyle w:val="head"/>
        <w:rPr>
          <w:rFonts w:ascii="Arial" w:hAnsi="Arial" w:cs="Arial"/>
          <w:bCs/>
          <w:color w:val="000000"/>
          <w:sz w:val="20"/>
          <w:szCs w:val="20"/>
        </w:rPr>
      </w:pPr>
      <w:r w:rsidRPr="00091F3D">
        <w:rPr>
          <w:rFonts w:ascii="Arial" w:hAnsi="Arial" w:cs="Arial"/>
          <w:bCs/>
          <w:color w:val="000000"/>
          <w:sz w:val="20"/>
          <w:szCs w:val="20"/>
        </w:rPr>
        <w:t>For the detailed ‘</w:t>
      </w:r>
      <w:r w:rsidR="00783FC1" w:rsidRPr="00091F3D">
        <w:rPr>
          <w:rFonts w:ascii="Arial" w:hAnsi="Arial" w:cs="Arial"/>
          <w:bCs/>
          <w:color w:val="000000"/>
          <w:sz w:val="20"/>
          <w:szCs w:val="20"/>
        </w:rPr>
        <w:t>Master Circular–Disbursement of Government Pension by Agency Banks</w:t>
      </w:r>
      <w:r w:rsidRPr="00091F3D">
        <w:rPr>
          <w:rFonts w:ascii="Arial" w:hAnsi="Arial" w:cs="Arial"/>
          <w:bCs/>
          <w:color w:val="000000"/>
          <w:sz w:val="20"/>
          <w:szCs w:val="20"/>
        </w:rPr>
        <w:t>’ refer to the link below.</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220" w:history="1">
        <w:r w:rsidRPr="00470480">
          <w:rPr>
            <w:rStyle w:val="Hyperlink"/>
            <w:rFonts w:ascii="Arial" w:hAnsi="Arial" w:cs="Arial"/>
            <w:sz w:val="20"/>
            <w:szCs w:val="20"/>
          </w:rPr>
          <w:t>https://www.rbi.org.in/Scripts/NotificationUser.aspx?Id=12275&amp;Mode=0</w:t>
        </w:r>
      </w:hyperlink>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on Conduct of Government Business by Agency Banks - Payment of Agency Commission</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RBI/2022-23/08</w:t>
      </w:r>
      <w:r w:rsidRPr="00470480">
        <w:rPr>
          <w:rFonts w:ascii="Arial" w:hAnsi="Arial" w:cs="Arial"/>
          <w:color w:val="000000"/>
          <w:sz w:val="20"/>
          <w:szCs w:val="20"/>
        </w:rPr>
        <w:br/>
        <w:t>CO.DGBA.GBD.No.S-1/31.12.010/2022-23</w:t>
      </w:r>
    </w:p>
    <w:p w:rsidR="00783FC1" w:rsidRPr="00470480" w:rsidRDefault="00783FC1" w:rsidP="00783FC1">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All Agency Banks</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783FC1" w:rsidRPr="00470480" w:rsidRDefault="00783FC1" w:rsidP="00783FC1">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on Conduct of Government Business by Agency Banks - Payment of Agency Commission</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221" w:tgtFrame="_blank" w:history="1">
        <w:r w:rsidRPr="00470480">
          <w:rPr>
            <w:rStyle w:val="Hyperlink"/>
            <w:rFonts w:ascii="Arial" w:hAnsi="Arial" w:cs="Arial"/>
            <w:sz w:val="20"/>
            <w:szCs w:val="20"/>
          </w:rPr>
          <w:t>Master Circular RBI/2021-22/07 DGBA.GBD.No.S-2/31.12.010/2021-22 dated April 1, 2021</w:t>
        </w:r>
      </w:hyperlink>
      <w:r w:rsidRPr="00470480">
        <w:rPr>
          <w:rFonts w:ascii="Arial" w:hAnsi="Arial" w:cs="Arial"/>
          <w:color w:val="000000"/>
          <w:sz w:val="20"/>
          <w:szCs w:val="20"/>
        </w:rPr>
        <w:t> on the above subject. We have now revised and updated the Master Circular which consolidates important instructions on the subject issued by the Reserve Bank of India till March 31, 2022.</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2. A copy of the revised </w:t>
      </w:r>
      <w:hyperlink r:id="rId222" w:anchor="MC1" w:history="1">
        <w:r w:rsidRPr="00470480">
          <w:rPr>
            <w:rStyle w:val="Hyperlink"/>
            <w:rFonts w:ascii="Arial" w:hAnsi="Arial" w:cs="Arial"/>
            <w:sz w:val="20"/>
            <w:szCs w:val="20"/>
          </w:rPr>
          <w:t>Master Circular</w:t>
        </w:r>
      </w:hyperlink>
      <w:r w:rsidRPr="00470480">
        <w:rPr>
          <w:rFonts w:ascii="Arial" w:hAnsi="Arial" w:cs="Arial"/>
          <w:color w:val="000000"/>
          <w:sz w:val="20"/>
          <w:szCs w:val="20"/>
        </w:rPr>
        <w:t> is enclosed for your information. This Circular may also be downloaded from our website </w:t>
      </w:r>
      <w:hyperlink r:id="rId223" w:tgtFrame="_blank" w:history="1">
        <w:r w:rsidRPr="00470480">
          <w:rPr>
            <w:rStyle w:val="Hyperlink"/>
            <w:rFonts w:ascii="Arial" w:hAnsi="Arial" w:cs="Arial"/>
            <w:sz w:val="20"/>
            <w:szCs w:val="20"/>
          </w:rPr>
          <w:t>https://mastercirculars.rbi.org.in</w:t>
        </w:r>
      </w:hyperlink>
      <w:r w:rsidRPr="00470480">
        <w:rPr>
          <w:rFonts w:ascii="Arial" w:hAnsi="Arial" w:cs="Arial"/>
          <w:color w:val="000000"/>
          <w:sz w:val="20"/>
          <w:szCs w:val="20"/>
        </w:rPr>
        <w:t>.</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83FC1" w:rsidRPr="00470480" w:rsidRDefault="00783FC1" w:rsidP="00783FC1">
      <w:pPr>
        <w:pStyle w:val="NormalWeb"/>
        <w:rPr>
          <w:rFonts w:ascii="Arial" w:hAnsi="Arial" w:cs="Arial"/>
          <w:color w:val="000000"/>
          <w:sz w:val="20"/>
          <w:szCs w:val="20"/>
        </w:rPr>
      </w:pPr>
      <w:r w:rsidRPr="00470480">
        <w:rPr>
          <w:rFonts w:ascii="Arial" w:hAnsi="Arial" w:cs="Arial"/>
          <w:color w:val="000000"/>
          <w:sz w:val="20"/>
          <w:szCs w:val="20"/>
        </w:rPr>
        <w:t xml:space="preserve">(R. </w:t>
      </w:r>
      <w:proofErr w:type="spellStart"/>
      <w:r w:rsidRPr="00470480">
        <w:rPr>
          <w:rFonts w:ascii="Arial" w:hAnsi="Arial" w:cs="Arial"/>
          <w:color w:val="000000"/>
          <w:sz w:val="20"/>
          <w:szCs w:val="20"/>
        </w:rPr>
        <w:t>Kamalakannan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783FC1" w:rsidRPr="00470480" w:rsidRDefault="00783FC1" w:rsidP="00783FC1">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091F3D" w:rsidRDefault="00091F3D" w:rsidP="00091F3D">
      <w:pPr>
        <w:pStyle w:val="head"/>
        <w:rPr>
          <w:rFonts w:ascii="Arial" w:hAnsi="Arial" w:cs="Arial"/>
          <w:bCs/>
          <w:color w:val="000000"/>
          <w:sz w:val="20"/>
          <w:szCs w:val="20"/>
        </w:rPr>
      </w:pPr>
    </w:p>
    <w:p w:rsidR="00536CF8" w:rsidRDefault="00536CF8" w:rsidP="00091F3D">
      <w:pPr>
        <w:pStyle w:val="head"/>
        <w:rPr>
          <w:rFonts w:ascii="Arial" w:hAnsi="Arial" w:cs="Arial"/>
          <w:bCs/>
          <w:color w:val="000000"/>
          <w:sz w:val="20"/>
          <w:szCs w:val="20"/>
        </w:rPr>
      </w:pPr>
    </w:p>
    <w:p w:rsidR="00783FC1" w:rsidRPr="00091F3D" w:rsidRDefault="00091F3D" w:rsidP="00091F3D">
      <w:pPr>
        <w:pStyle w:val="head"/>
        <w:rPr>
          <w:rFonts w:ascii="Arial" w:hAnsi="Arial" w:cs="Arial"/>
          <w:bCs/>
          <w:color w:val="000000"/>
          <w:sz w:val="20"/>
          <w:szCs w:val="20"/>
        </w:rPr>
      </w:pPr>
      <w:r w:rsidRPr="00091F3D">
        <w:rPr>
          <w:rFonts w:ascii="Arial" w:hAnsi="Arial" w:cs="Arial"/>
          <w:bCs/>
          <w:color w:val="000000"/>
          <w:sz w:val="20"/>
          <w:szCs w:val="20"/>
        </w:rPr>
        <w:t>For the detailed ‘</w:t>
      </w:r>
      <w:r w:rsidR="00783FC1" w:rsidRPr="00091F3D">
        <w:rPr>
          <w:rFonts w:ascii="Arial" w:hAnsi="Arial" w:cs="Arial"/>
          <w:bCs/>
          <w:color w:val="000000"/>
          <w:sz w:val="20"/>
          <w:szCs w:val="20"/>
        </w:rPr>
        <w:t>MASTER CIRCULAR ON AGENCY COMMISSION</w:t>
      </w:r>
      <w:r w:rsidRPr="00091F3D">
        <w:rPr>
          <w:rFonts w:ascii="Arial" w:hAnsi="Arial" w:cs="Arial"/>
          <w:bCs/>
          <w:color w:val="000000"/>
          <w:sz w:val="20"/>
          <w:szCs w:val="20"/>
        </w:rPr>
        <w:t>’, refer to the link below.</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224" w:history="1">
        <w:r w:rsidRPr="00470480">
          <w:rPr>
            <w:rStyle w:val="Hyperlink"/>
            <w:rFonts w:ascii="Arial" w:hAnsi="Arial" w:cs="Arial"/>
            <w:sz w:val="20"/>
            <w:szCs w:val="20"/>
          </w:rPr>
          <w:t>https://www.rbi.org.in/Scripts/NotificationUser.aspx?Id=12274&amp;Mode=0</w:t>
        </w:r>
      </w:hyperlink>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Detection and Impounding of Counterfeit Notes</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RBI/2022-23/07</w:t>
      </w:r>
      <w:r w:rsidRPr="00470480">
        <w:rPr>
          <w:rFonts w:ascii="Arial" w:hAnsi="Arial" w:cs="Arial"/>
          <w:color w:val="000000"/>
          <w:sz w:val="20"/>
          <w:szCs w:val="20"/>
        </w:rPr>
        <w:br/>
        <w:t>DCM (FNVD) G –1/16.01.05/2022-23</w:t>
      </w:r>
    </w:p>
    <w:p w:rsidR="00783FC1" w:rsidRPr="00470480" w:rsidRDefault="00783FC1" w:rsidP="00783FC1">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783FC1" w:rsidRPr="00470480" w:rsidRDefault="00783FC1" w:rsidP="00783FC1">
      <w:pPr>
        <w:pStyle w:val="NormalWeb"/>
        <w:rPr>
          <w:rFonts w:ascii="Arial" w:hAnsi="Arial" w:cs="Arial"/>
          <w:color w:val="000000"/>
          <w:sz w:val="20"/>
          <w:szCs w:val="20"/>
        </w:rPr>
      </w:pPr>
      <w:r w:rsidRPr="00470480">
        <w:rPr>
          <w:rFonts w:ascii="Arial" w:hAnsi="Arial" w:cs="Arial"/>
          <w:color w:val="000000"/>
          <w:sz w:val="20"/>
          <w:szCs w:val="20"/>
        </w:rPr>
        <w:t>The Chairman/ Managing Director /Chief Executive Officer</w:t>
      </w:r>
      <w:r w:rsidRPr="00470480">
        <w:rPr>
          <w:rFonts w:ascii="Arial" w:hAnsi="Arial" w:cs="Arial"/>
          <w:color w:val="000000"/>
          <w:sz w:val="20"/>
          <w:szCs w:val="20"/>
        </w:rPr>
        <w:br/>
        <w:t>All Banks</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783FC1" w:rsidRPr="00470480" w:rsidRDefault="00783FC1" w:rsidP="00783FC1">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Detection and Impounding of Counterfeit Notes</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25" w:tgtFrame="_blank" w:history="1">
        <w:r w:rsidRPr="00470480">
          <w:rPr>
            <w:rStyle w:val="Hyperlink"/>
            <w:rFonts w:ascii="Arial" w:hAnsi="Arial" w:cs="Arial"/>
            <w:sz w:val="20"/>
            <w:szCs w:val="20"/>
          </w:rPr>
          <w:t>Master Circular DCM (FNVD) G - 1/16.01.05/2021-22 dated April 1, 2021</w:t>
        </w:r>
      </w:hyperlink>
      <w:r w:rsidRPr="00470480">
        <w:rPr>
          <w:rFonts w:ascii="Arial" w:hAnsi="Arial" w:cs="Arial"/>
          <w:color w:val="000000"/>
          <w:sz w:val="20"/>
          <w:szCs w:val="20"/>
        </w:rPr>
        <w:t> consolidating the instructions issued till April 1, 2021, relating to Detection and Impounding of Counterfeit Notes. The </w:t>
      </w:r>
      <w:hyperlink r:id="rId226"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has since been updated by incorporating the instructions issued till date and has been placed on the RBI website </w:t>
      </w:r>
      <w:hyperlink r:id="rId227" w:tgtFrame="_blank" w:history="1">
        <w:r w:rsidRPr="00470480">
          <w:rPr>
            <w:rStyle w:val="Hyperlink"/>
            <w:rFonts w:ascii="Arial" w:hAnsi="Arial" w:cs="Arial"/>
            <w:sz w:val="20"/>
            <w:szCs w:val="20"/>
          </w:rPr>
          <w:t>www.rbi.org.in</w:t>
        </w:r>
      </w:hyperlink>
      <w:r w:rsidRPr="00470480">
        <w:rPr>
          <w:rFonts w:ascii="Arial" w:hAnsi="Arial" w:cs="Arial"/>
          <w:color w:val="000000"/>
          <w:sz w:val="20"/>
          <w:szCs w:val="20"/>
        </w:rPr>
        <w:t>.</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The Master Circular is a compilation of the instructions issued by RBI on the above subject which are operational as on the date of this Circular.</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83FC1" w:rsidRPr="00470480" w:rsidRDefault="00783FC1" w:rsidP="00783FC1">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783FC1" w:rsidRPr="00470480" w:rsidRDefault="00783FC1" w:rsidP="00783FC1">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536CF8" w:rsidRDefault="00536CF8" w:rsidP="00091F3D">
      <w:pPr>
        <w:pStyle w:val="head"/>
        <w:rPr>
          <w:rFonts w:ascii="Arial" w:hAnsi="Arial" w:cs="Arial"/>
          <w:bCs/>
          <w:color w:val="000000"/>
          <w:sz w:val="20"/>
          <w:szCs w:val="20"/>
        </w:rPr>
      </w:pPr>
    </w:p>
    <w:p w:rsidR="00783FC1" w:rsidRPr="00091F3D" w:rsidRDefault="00091F3D" w:rsidP="00091F3D">
      <w:pPr>
        <w:pStyle w:val="head"/>
        <w:rPr>
          <w:rFonts w:ascii="Arial" w:hAnsi="Arial" w:cs="Arial"/>
          <w:bCs/>
          <w:color w:val="000000"/>
          <w:sz w:val="20"/>
          <w:szCs w:val="20"/>
        </w:rPr>
      </w:pPr>
      <w:r w:rsidRPr="00091F3D">
        <w:rPr>
          <w:rFonts w:ascii="Arial" w:hAnsi="Arial" w:cs="Arial"/>
          <w:bCs/>
          <w:color w:val="000000"/>
          <w:sz w:val="20"/>
          <w:szCs w:val="20"/>
        </w:rPr>
        <w:t>For the detailed circular, refer to the link below.</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228" w:history="1">
        <w:r w:rsidRPr="00470480">
          <w:rPr>
            <w:rStyle w:val="Hyperlink"/>
            <w:rFonts w:ascii="Arial" w:hAnsi="Arial" w:cs="Arial"/>
            <w:sz w:val="20"/>
            <w:szCs w:val="20"/>
          </w:rPr>
          <w:t>https://www.rbi.org.in/Scripts/NotificationUser.aspx?Id=12273&amp;Mode=0</w:t>
        </w:r>
      </w:hyperlink>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Guarantees, Co-Acceptances &amp; Letters of Credit – UCBs</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RBI/2022-23/06</w:t>
      </w:r>
      <w:r w:rsidRPr="00470480">
        <w:rPr>
          <w:rFonts w:ascii="Arial" w:hAnsi="Arial" w:cs="Arial"/>
          <w:color w:val="000000"/>
          <w:sz w:val="20"/>
          <w:szCs w:val="20"/>
        </w:rPr>
        <w:br/>
        <w:t>DoR.STR.REC.9/09.27.000/2022-23</w:t>
      </w:r>
    </w:p>
    <w:p w:rsidR="00783FC1" w:rsidRPr="00470480" w:rsidRDefault="00783FC1" w:rsidP="00783FC1">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783FC1" w:rsidRPr="00470480" w:rsidRDefault="00783FC1" w:rsidP="00783FC1">
      <w:pPr>
        <w:pStyle w:val="NormalWeb"/>
        <w:rPr>
          <w:rFonts w:ascii="Arial" w:hAnsi="Arial" w:cs="Arial"/>
          <w:color w:val="000000"/>
          <w:sz w:val="20"/>
          <w:szCs w:val="20"/>
        </w:rPr>
      </w:pPr>
      <w:r w:rsidRPr="00470480">
        <w:rPr>
          <w:rFonts w:ascii="Arial" w:hAnsi="Arial" w:cs="Arial"/>
          <w:color w:val="000000"/>
          <w:sz w:val="20"/>
          <w:szCs w:val="20"/>
        </w:rPr>
        <w:t>The Managing Director/ Chief Executive Officers</w:t>
      </w:r>
      <w:r w:rsidRPr="00470480">
        <w:rPr>
          <w:rFonts w:ascii="Arial" w:hAnsi="Arial" w:cs="Arial"/>
          <w:color w:val="000000"/>
          <w:sz w:val="20"/>
          <w:szCs w:val="20"/>
        </w:rPr>
        <w:br/>
        <w:t>All Primary (Urban) Co-operative Banks</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783FC1" w:rsidRPr="00470480" w:rsidRDefault="00783FC1" w:rsidP="00783FC1">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Guarantees, Co-Acceptances &amp; Letters of Credit - UCBs</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229" w:tgtFrame="_blank" w:history="1">
        <w:r w:rsidRPr="00470480">
          <w:rPr>
            <w:rStyle w:val="Hyperlink"/>
            <w:rFonts w:ascii="Arial" w:hAnsi="Arial" w:cs="Arial"/>
            <w:sz w:val="20"/>
            <w:szCs w:val="20"/>
          </w:rPr>
          <w:t>Master Circular DoR.STR.REC.65/09.27.000/2021-22 dated November 2, 2021</w:t>
        </w:r>
      </w:hyperlink>
      <w:r w:rsidRPr="00470480">
        <w:rPr>
          <w:rFonts w:ascii="Arial" w:hAnsi="Arial" w:cs="Arial"/>
          <w:color w:val="000000"/>
          <w:sz w:val="20"/>
          <w:szCs w:val="20"/>
        </w:rPr>
        <w:t> on the captioned subject (available at RBI website </w:t>
      </w:r>
      <w:hyperlink r:id="rId230" w:tgtFrame="_blank" w:history="1">
        <w:r w:rsidRPr="00470480">
          <w:rPr>
            <w:rStyle w:val="Hyperlink"/>
            <w:rFonts w:ascii="Arial" w:hAnsi="Arial" w:cs="Arial"/>
            <w:sz w:val="20"/>
            <w:szCs w:val="20"/>
          </w:rPr>
          <w:t>https://rbi.org.in/</w:t>
        </w:r>
      </w:hyperlink>
      <w:r w:rsidRPr="00470480">
        <w:rPr>
          <w:rFonts w:ascii="Arial" w:hAnsi="Arial" w:cs="Arial"/>
          <w:color w:val="000000"/>
          <w:sz w:val="20"/>
          <w:szCs w:val="20"/>
        </w:rPr>
        <w:t>). The enclosed </w:t>
      </w:r>
      <w:hyperlink r:id="rId231"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on the subject issued up to March 31, 2022 as listed in the </w:t>
      </w:r>
      <w:hyperlink r:id="rId232" w:anchor="AN"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83FC1" w:rsidRPr="00470480" w:rsidRDefault="00783FC1" w:rsidP="00783FC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536CF8" w:rsidRDefault="00536CF8" w:rsidP="00536CF8">
      <w:pPr>
        <w:pStyle w:val="NormalWeb"/>
        <w:spacing w:before="0" w:beforeAutospacing="0" w:after="0" w:afterAutospacing="0"/>
        <w:jc w:val="both"/>
        <w:rPr>
          <w:rFonts w:ascii="Arial" w:hAnsi="Arial" w:cs="Arial"/>
          <w:color w:val="000000"/>
          <w:sz w:val="20"/>
          <w:szCs w:val="20"/>
        </w:rPr>
      </w:pPr>
    </w:p>
    <w:p w:rsidR="00536CF8" w:rsidRDefault="00536CF8" w:rsidP="00536CF8">
      <w:pPr>
        <w:pStyle w:val="NormalWeb"/>
        <w:spacing w:before="0" w:beforeAutospacing="0" w:after="0" w:afterAutospacing="0"/>
        <w:jc w:val="both"/>
        <w:rPr>
          <w:rFonts w:ascii="Arial" w:hAnsi="Arial" w:cs="Arial"/>
          <w:color w:val="000000"/>
          <w:sz w:val="20"/>
          <w:szCs w:val="20"/>
        </w:rPr>
      </w:pPr>
    </w:p>
    <w:p w:rsidR="00454EA3" w:rsidRDefault="00454EA3" w:rsidP="00536CF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more details, refer to the link below.</w:t>
      </w:r>
    </w:p>
    <w:p w:rsidR="00783FC1" w:rsidRPr="00470480" w:rsidRDefault="00783FC1" w:rsidP="00536CF8">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233" w:history="1">
        <w:r w:rsidRPr="00470480">
          <w:rPr>
            <w:rStyle w:val="Hyperlink"/>
            <w:rFonts w:ascii="Arial" w:hAnsi="Arial" w:cs="Arial"/>
            <w:sz w:val="20"/>
            <w:szCs w:val="20"/>
          </w:rPr>
          <w:t>https://www.rbi.org.in/Scripts/NotificationUser.aspx?Id=12272&amp;Mode=0</w:t>
        </w:r>
      </w:hyperlink>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536CF8" w:rsidRDefault="00536CF8" w:rsidP="00783FC1">
      <w:pPr>
        <w:pStyle w:val="NormalWeb"/>
        <w:jc w:val="both"/>
        <w:rPr>
          <w:rFonts w:ascii="Arial" w:hAnsi="Arial" w:cs="Arial"/>
          <w:b/>
          <w:bCs/>
          <w:color w:val="000000"/>
          <w:sz w:val="20"/>
          <w:szCs w:val="20"/>
        </w:rPr>
      </w:pPr>
    </w:p>
    <w:p w:rsidR="00783FC1" w:rsidRPr="00470480" w:rsidRDefault="00783FC1" w:rsidP="00783FC1">
      <w:pPr>
        <w:pStyle w:val="NormalWeb"/>
        <w:jc w:val="both"/>
        <w:rPr>
          <w:rFonts w:ascii="Arial" w:hAnsi="Arial" w:cs="Arial"/>
          <w:b/>
          <w:bCs/>
          <w:color w:val="000000"/>
          <w:sz w:val="20"/>
          <w:szCs w:val="20"/>
        </w:rPr>
      </w:pPr>
      <w:r w:rsidRPr="00470480">
        <w:rPr>
          <w:rFonts w:ascii="Arial" w:hAnsi="Arial" w:cs="Arial"/>
          <w:b/>
          <w:bCs/>
          <w:color w:val="000000"/>
          <w:sz w:val="20"/>
          <w:szCs w:val="20"/>
        </w:rPr>
        <w:t>Master Circular on Investments by Primary (Urban) Co-operative Banks</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RBI/2022-23/05</w:t>
      </w:r>
      <w:r w:rsidRPr="00470480">
        <w:rPr>
          <w:rFonts w:ascii="Arial" w:hAnsi="Arial" w:cs="Arial"/>
          <w:color w:val="000000"/>
          <w:sz w:val="20"/>
          <w:szCs w:val="20"/>
        </w:rPr>
        <w:br/>
        <w:t>DOR.MRG.REC.10/21.04.141/2022-23</w:t>
      </w:r>
    </w:p>
    <w:p w:rsidR="00783FC1" w:rsidRPr="00470480" w:rsidRDefault="00783FC1" w:rsidP="00783FC1">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783FC1" w:rsidRPr="00470480" w:rsidRDefault="00783FC1" w:rsidP="00783FC1">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on Investments by Primary (Urban) Co-operative Banks</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234" w:tgtFrame="_blank" w:history="1">
        <w:r w:rsidRPr="00470480">
          <w:rPr>
            <w:rStyle w:val="Hyperlink"/>
            <w:rFonts w:ascii="Arial" w:hAnsi="Arial" w:cs="Arial"/>
            <w:sz w:val="20"/>
            <w:szCs w:val="20"/>
          </w:rPr>
          <w:t>Master Circular DOR.MRG.REC.50/21.04.141/2021-22 dated September 20, 2021</w:t>
        </w:r>
      </w:hyperlink>
      <w:r w:rsidRPr="00470480">
        <w:rPr>
          <w:rFonts w:ascii="Arial" w:hAnsi="Arial" w:cs="Arial"/>
          <w:color w:val="000000"/>
          <w:sz w:val="20"/>
          <w:szCs w:val="20"/>
        </w:rPr>
        <w:t> on the captioned subject. The enclosed </w:t>
      </w:r>
      <w:hyperlink r:id="rId235" w:anchor="MC1"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instructions/guidelines on the subject issued as on date.</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83FC1" w:rsidRPr="00470480" w:rsidRDefault="00783FC1" w:rsidP="00783FC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536CF8" w:rsidRDefault="00536CF8" w:rsidP="00536CF8">
      <w:pPr>
        <w:pStyle w:val="head"/>
        <w:spacing w:before="0" w:beforeAutospacing="0" w:after="0" w:afterAutospacing="0"/>
        <w:rPr>
          <w:rFonts w:ascii="Arial" w:hAnsi="Arial" w:cs="Arial"/>
          <w:bCs/>
          <w:color w:val="000000"/>
          <w:sz w:val="20"/>
          <w:szCs w:val="20"/>
        </w:rPr>
      </w:pPr>
    </w:p>
    <w:p w:rsidR="00536CF8" w:rsidRDefault="00536CF8" w:rsidP="00536CF8">
      <w:pPr>
        <w:pStyle w:val="head"/>
        <w:spacing w:before="0" w:beforeAutospacing="0" w:after="0" w:afterAutospacing="0"/>
        <w:rPr>
          <w:rFonts w:ascii="Arial" w:hAnsi="Arial" w:cs="Arial"/>
          <w:bCs/>
          <w:color w:val="000000"/>
          <w:sz w:val="20"/>
          <w:szCs w:val="20"/>
        </w:rPr>
      </w:pPr>
    </w:p>
    <w:p w:rsidR="00783FC1" w:rsidRPr="00454EA3" w:rsidRDefault="00454EA3" w:rsidP="00536CF8">
      <w:pPr>
        <w:pStyle w:val="head"/>
        <w:spacing w:before="0" w:beforeAutospacing="0" w:after="0" w:afterAutospacing="0"/>
        <w:rPr>
          <w:rFonts w:ascii="Arial" w:hAnsi="Arial" w:cs="Arial"/>
          <w:bCs/>
          <w:color w:val="000000"/>
          <w:sz w:val="20"/>
          <w:szCs w:val="20"/>
        </w:rPr>
      </w:pPr>
      <w:r w:rsidRPr="00454EA3">
        <w:rPr>
          <w:rFonts w:ascii="Arial" w:hAnsi="Arial" w:cs="Arial"/>
          <w:bCs/>
          <w:color w:val="000000"/>
          <w:sz w:val="20"/>
          <w:szCs w:val="20"/>
        </w:rPr>
        <w:t>For the detailed ‘</w:t>
      </w:r>
      <w:r w:rsidR="00783FC1" w:rsidRPr="00454EA3">
        <w:rPr>
          <w:rFonts w:ascii="Arial" w:hAnsi="Arial" w:cs="Arial"/>
          <w:bCs/>
          <w:color w:val="000000"/>
          <w:sz w:val="20"/>
          <w:szCs w:val="20"/>
        </w:rPr>
        <w:t>MASTER CIRCULAR ON INVESTMENTS BY PRIMARY (URBAN) CO-OPERATIVE BANKS</w:t>
      </w:r>
      <w:r w:rsidRPr="00454EA3">
        <w:rPr>
          <w:rFonts w:ascii="Arial" w:hAnsi="Arial" w:cs="Arial"/>
          <w:bCs/>
          <w:color w:val="000000"/>
          <w:sz w:val="20"/>
          <w:szCs w:val="20"/>
        </w:rPr>
        <w:t>’ refer to the link below.</w:t>
      </w:r>
    </w:p>
    <w:p w:rsidR="00783FC1" w:rsidRPr="00470480" w:rsidRDefault="00783FC1" w:rsidP="00536CF8">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236" w:history="1">
        <w:r w:rsidRPr="00470480">
          <w:rPr>
            <w:rStyle w:val="Hyperlink"/>
            <w:rFonts w:ascii="Arial" w:hAnsi="Arial" w:cs="Arial"/>
            <w:sz w:val="20"/>
            <w:szCs w:val="20"/>
          </w:rPr>
          <w:t>https://www.rbi.org.in/Scripts/NotificationUser.aspx?Id=12271&amp;Mode=0</w:t>
        </w:r>
      </w:hyperlink>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454EA3" w:rsidRDefault="00454EA3" w:rsidP="00783FC1">
      <w:pPr>
        <w:pStyle w:val="NormalWeb"/>
        <w:jc w:val="both"/>
        <w:rPr>
          <w:rFonts w:ascii="Arial" w:hAnsi="Arial" w:cs="Arial"/>
          <w:b/>
          <w:bCs/>
          <w:color w:val="000000"/>
          <w:sz w:val="20"/>
          <w:szCs w:val="20"/>
        </w:rPr>
      </w:pPr>
    </w:p>
    <w:p w:rsidR="00454EA3" w:rsidRDefault="00454EA3" w:rsidP="00783FC1">
      <w:pPr>
        <w:pStyle w:val="NormalWeb"/>
        <w:jc w:val="both"/>
        <w:rPr>
          <w:rFonts w:ascii="Arial" w:hAnsi="Arial" w:cs="Arial"/>
          <w:b/>
          <w:bCs/>
          <w:color w:val="000000"/>
          <w:sz w:val="20"/>
          <w:szCs w:val="20"/>
        </w:rPr>
      </w:pPr>
    </w:p>
    <w:p w:rsidR="00454EA3" w:rsidRDefault="00454EA3" w:rsidP="00783FC1">
      <w:pPr>
        <w:pStyle w:val="NormalWeb"/>
        <w:jc w:val="both"/>
        <w:rPr>
          <w:rFonts w:ascii="Arial" w:hAnsi="Arial" w:cs="Arial"/>
          <w:b/>
          <w:bCs/>
          <w:color w:val="000000"/>
          <w:sz w:val="20"/>
          <w:szCs w:val="20"/>
        </w:rPr>
      </w:pPr>
    </w:p>
    <w:p w:rsidR="00454EA3" w:rsidRDefault="00454EA3" w:rsidP="00783FC1">
      <w:pPr>
        <w:pStyle w:val="NormalWeb"/>
        <w:jc w:val="both"/>
        <w:rPr>
          <w:rFonts w:ascii="Arial" w:hAnsi="Arial" w:cs="Arial"/>
          <w:b/>
          <w:bCs/>
          <w:color w:val="000000"/>
          <w:sz w:val="20"/>
          <w:szCs w:val="20"/>
        </w:rPr>
      </w:pPr>
    </w:p>
    <w:p w:rsidR="00454EA3" w:rsidRDefault="00454EA3" w:rsidP="00783FC1">
      <w:pPr>
        <w:pStyle w:val="NormalWeb"/>
        <w:jc w:val="both"/>
        <w:rPr>
          <w:rFonts w:ascii="Arial" w:hAnsi="Arial" w:cs="Arial"/>
          <w:b/>
          <w:bCs/>
          <w:color w:val="000000"/>
          <w:sz w:val="20"/>
          <w:szCs w:val="20"/>
        </w:rPr>
      </w:pPr>
    </w:p>
    <w:p w:rsidR="00783FC1" w:rsidRPr="00470480" w:rsidRDefault="00783FC1" w:rsidP="00783FC1">
      <w:pPr>
        <w:pStyle w:val="NormalWeb"/>
        <w:jc w:val="both"/>
        <w:rPr>
          <w:rFonts w:ascii="Arial" w:hAnsi="Arial" w:cs="Arial"/>
          <w:b/>
          <w:bCs/>
          <w:color w:val="000000"/>
          <w:sz w:val="20"/>
          <w:szCs w:val="20"/>
        </w:rPr>
      </w:pPr>
      <w:r w:rsidRPr="00470480">
        <w:rPr>
          <w:rFonts w:ascii="Arial" w:hAnsi="Arial" w:cs="Arial"/>
          <w:b/>
          <w:bCs/>
          <w:color w:val="000000"/>
          <w:sz w:val="20"/>
          <w:szCs w:val="20"/>
        </w:rPr>
        <w:t>Master Direction on Penal Provisions in deficiencies in reporting of transactions/ balances at Currency Chests</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RBI/2022-23/91</w:t>
      </w:r>
      <w:r w:rsidRPr="00470480">
        <w:rPr>
          <w:rFonts w:ascii="Arial" w:hAnsi="Arial" w:cs="Arial"/>
          <w:color w:val="000000"/>
          <w:sz w:val="20"/>
          <w:szCs w:val="20"/>
        </w:rPr>
        <w:br/>
        <w:t>DCM (CC) No.G-4/03.35.01/2022-23</w:t>
      </w:r>
    </w:p>
    <w:p w:rsidR="00783FC1" w:rsidRPr="00470480" w:rsidRDefault="00783FC1" w:rsidP="00783FC1">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783FC1" w:rsidRPr="00470480" w:rsidRDefault="00783FC1" w:rsidP="00783FC1">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banks having Currency Chests)</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783FC1" w:rsidRPr="00470480" w:rsidRDefault="00783FC1" w:rsidP="00783FC1">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on Penal Provisions in deficiencies in reporting of transactions/ balances at Currency Chests</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In terms of the Preamble to &amp; Section 45 of the RBI Act, 1934 and 35 A of the Banking Regulation Act, 1949, the Bank issues guidelines / instructions for realising the objectives of Clean Note Policy as part of currency management. With a view to sustain these efforts and to ensure discipline among the banks for timely and accurate reporting of currency chest transactions, instructions on the subject have been issued from time to time.</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2. The </w:t>
      </w:r>
      <w:hyperlink r:id="rId237" w:anchor="MD" w:history="1">
        <w:r w:rsidRPr="00470480">
          <w:rPr>
            <w:rStyle w:val="Hyperlink"/>
            <w:rFonts w:ascii="Arial" w:hAnsi="Arial" w:cs="Arial"/>
            <w:sz w:val="20"/>
            <w:szCs w:val="20"/>
          </w:rPr>
          <w:t>Master Direction</w:t>
        </w:r>
      </w:hyperlink>
      <w:r w:rsidRPr="00470480">
        <w:rPr>
          <w:rFonts w:ascii="Arial" w:hAnsi="Arial" w:cs="Arial"/>
          <w:color w:val="000000"/>
          <w:sz w:val="20"/>
          <w:szCs w:val="20"/>
        </w:rPr>
        <w:t> enclosed incorporates updated guidelines / circulars on the subject. The Direction will be updated as and when fresh instructions are issued.</w:t>
      </w: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83FC1" w:rsidRPr="00470480" w:rsidRDefault="00783FC1" w:rsidP="00783FC1">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783FC1" w:rsidRPr="00470480" w:rsidRDefault="00783FC1" w:rsidP="00783FC1">
      <w:pPr>
        <w:pStyle w:val="NormalWeb"/>
        <w:jc w:val="both"/>
        <w:rPr>
          <w:rFonts w:ascii="Arial" w:hAnsi="Arial" w:cs="Arial"/>
          <w:color w:val="000000"/>
          <w:sz w:val="20"/>
          <w:szCs w:val="20"/>
        </w:rPr>
      </w:pPr>
      <w:proofErr w:type="spellStart"/>
      <w:proofErr w:type="gramStart"/>
      <w:r w:rsidRPr="00470480">
        <w:rPr>
          <w:rFonts w:ascii="Arial" w:hAnsi="Arial" w:cs="Arial"/>
          <w:color w:val="000000"/>
          <w:sz w:val="20"/>
          <w:szCs w:val="20"/>
        </w:rPr>
        <w:t>Encl</w:t>
      </w:r>
      <w:proofErr w:type="spellEnd"/>
      <w:r w:rsidRPr="00470480">
        <w:rPr>
          <w:rFonts w:ascii="Arial" w:hAnsi="Arial" w:cs="Arial"/>
          <w:color w:val="000000"/>
          <w:sz w:val="20"/>
          <w:szCs w:val="20"/>
        </w:rPr>
        <w:t xml:space="preserve"> :</w:t>
      </w:r>
      <w:proofErr w:type="gramEnd"/>
      <w:r w:rsidRPr="00470480">
        <w:rPr>
          <w:rFonts w:ascii="Arial" w:hAnsi="Arial" w:cs="Arial"/>
          <w:color w:val="000000"/>
          <w:sz w:val="20"/>
          <w:szCs w:val="20"/>
        </w:rPr>
        <w:t xml:space="preserve"> As above</w:t>
      </w:r>
    </w:p>
    <w:p w:rsidR="00536CF8" w:rsidRDefault="00536CF8" w:rsidP="00783FC1">
      <w:pPr>
        <w:pStyle w:val="NormalWeb"/>
        <w:jc w:val="both"/>
        <w:rPr>
          <w:rFonts w:ascii="Arial" w:hAnsi="Arial" w:cs="Arial"/>
          <w:color w:val="000000"/>
          <w:sz w:val="20"/>
          <w:szCs w:val="20"/>
        </w:rPr>
      </w:pPr>
    </w:p>
    <w:p w:rsidR="00536CF8" w:rsidRDefault="00536CF8"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238" w:history="1">
        <w:r w:rsidRPr="00470480">
          <w:rPr>
            <w:rStyle w:val="Hyperlink"/>
            <w:rFonts w:ascii="Arial" w:hAnsi="Arial" w:cs="Arial"/>
            <w:sz w:val="20"/>
            <w:szCs w:val="20"/>
          </w:rPr>
          <w:t>https://www.rbi.org.in/Scripts/NotificationUser.aspx?Id=12270&amp;Mode=0</w:t>
        </w:r>
      </w:hyperlink>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0575E0" w:rsidRPr="00470480" w:rsidRDefault="000575E0" w:rsidP="00783FC1">
      <w:pPr>
        <w:pStyle w:val="NormalWeb"/>
        <w:jc w:val="both"/>
        <w:rPr>
          <w:rFonts w:ascii="Arial" w:hAnsi="Arial" w:cs="Arial"/>
          <w:color w:val="000000"/>
          <w:sz w:val="20"/>
          <w:szCs w:val="20"/>
        </w:rPr>
      </w:pPr>
    </w:p>
    <w:p w:rsidR="000575E0" w:rsidRPr="00470480" w:rsidRDefault="000575E0" w:rsidP="00783FC1">
      <w:pPr>
        <w:pStyle w:val="NormalWeb"/>
        <w:jc w:val="both"/>
        <w:rPr>
          <w:rFonts w:ascii="Arial" w:hAnsi="Arial" w:cs="Arial"/>
          <w:color w:val="000000"/>
          <w:sz w:val="20"/>
          <w:szCs w:val="20"/>
        </w:rPr>
      </w:pPr>
    </w:p>
    <w:p w:rsidR="000575E0" w:rsidRPr="00470480" w:rsidRDefault="000575E0" w:rsidP="00783FC1">
      <w:pPr>
        <w:pStyle w:val="NormalWeb"/>
        <w:jc w:val="both"/>
        <w:rPr>
          <w:rFonts w:ascii="Arial" w:hAnsi="Arial" w:cs="Arial"/>
          <w:color w:val="000000"/>
          <w:sz w:val="20"/>
          <w:szCs w:val="20"/>
        </w:rPr>
      </w:pPr>
    </w:p>
    <w:p w:rsidR="000575E0" w:rsidRPr="00470480" w:rsidRDefault="000575E0" w:rsidP="00783FC1">
      <w:pPr>
        <w:pStyle w:val="NormalWeb"/>
        <w:jc w:val="both"/>
        <w:rPr>
          <w:rFonts w:ascii="Arial" w:hAnsi="Arial" w:cs="Arial"/>
          <w:color w:val="000000"/>
          <w:sz w:val="20"/>
          <w:szCs w:val="20"/>
        </w:rPr>
      </w:pPr>
    </w:p>
    <w:p w:rsidR="000575E0" w:rsidRPr="00470480" w:rsidRDefault="000575E0" w:rsidP="00783FC1">
      <w:pPr>
        <w:pStyle w:val="NormalWeb"/>
        <w:jc w:val="both"/>
        <w:rPr>
          <w:rFonts w:ascii="Arial" w:hAnsi="Arial" w:cs="Arial"/>
          <w:b/>
          <w:bCs/>
          <w:color w:val="000000"/>
          <w:sz w:val="20"/>
          <w:szCs w:val="20"/>
        </w:rPr>
      </w:pPr>
      <w:r w:rsidRPr="00470480">
        <w:rPr>
          <w:rFonts w:ascii="Arial" w:hAnsi="Arial" w:cs="Arial"/>
          <w:b/>
          <w:bCs/>
          <w:color w:val="000000"/>
          <w:sz w:val="20"/>
          <w:szCs w:val="20"/>
        </w:rPr>
        <w:t>Master Direction on Framework of Incentives for Currency Distribution &amp; Exchange Scheme for bank branches including currency chests based on performance in rendering customer service to the members of public</w:t>
      </w:r>
    </w:p>
    <w:p w:rsidR="000575E0" w:rsidRPr="00470480" w:rsidRDefault="000575E0" w:rsidP="000575E0">
      <w:pPr>
        <w:pStyle w:val="NormalWeb"/>
        <w:jc w:val="both"/>
        <w:rPr>
          <w:rFonts w:ascii="Arial" w:hAnsi="Arial" w:cs="Arial"/>
          <w:color w:val="000000"/>
          <w:sz w:val="20"/>
          <w:szCs w:val="20"/>
        </w:rPr>
      </w:pPr>
      <w:r w:rsidRPr="00470480">
        <w:rPr>
          <w:rFonts w:ascii="Arial" w:hAnsi="Arial" w:cs="Arial"/>
          <w:color w:val="000000"/>
          <w:sz w:val="20"/>
          <w:szCs w:val="20"/>
        </w:rPr>
        <w:t>RBI/2022-23/90</w:t>
      </w:r>
      <w:r w:rsidRPr="00470480">
        <w:rPr>
          <w:rFonts w:ascii="Arial" w:hAnsi="Arial" w:cs="Arial"/>
          <w:color w:val="000000"/>
          <w:sz w:val="20"/>
          <w:szCs w:val="20"/>
        </w:rPr>
        <w:br/>
        <w:t>DCM (CC) No.G-3/03.41.01/2022-23</w:t>
      </w:r>
    </w:p>
    <w:p w:rsidR="000575E0" w:rsidRPr="00470480" w:rsidRDefault="000575E0" w:rsidP="000575E0">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0575E0" w:rsidRPr="00470480" w:rsidRDefault="000575E0" w:rsidP="005B17C1">
      <w:pPr>
        <w:pStyle w:val="NormalWeb"/>
        <w:rPr>
          <w:rFonts w:ascii="Arial" w:hAnsi="Arial" w:cs="Arial"/>
          <w:color w:val="000000"/>
          <w:sz w:val="20"/>
          <w:szCs w:val="20"/>
        </w:rPr>
      </w:pPr>
      <w:r w:rsidRPr="00470480">
        <w:rPr>
          <w:rFonts w:ascii="Arial" w:hAnsi="Arial" w:cs="Arial"/>
          <w:color w:val="000000"/>
          <w:sz w:val="20"/>
          <w:szCs w:val="20"/>
        </w:rPr>
        <w:t>The Chairman/Managing Director/Chief Executive Officers</w:t>
      </w:r>
      <w:r w:rsidRPr="00470480">
        <w:rPr>
          <w:rFonts w:ascii="Arial" w:hAnsi="Arial" w:cs="Arial"/>
          <w:color w:val="000000"/>
          <w:sz w:val="20"/>
          <w:szCs w:val="20"/>
        </w:rPr>
        <w:br/>
        <w:t>All banks</w:t>
      </w:r>
    </w:p>
    <w:p w:rsidR="000575E0" w:rsidRPr="00470480" w:rsidRDefault="000575E0" w:rsidP="000575E0">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0575E0" w:rsidRPr="00470480" w:rsidRDefault="000575E0" w:rsidP="000575E0">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on Framework of Incentives for Currency Distribution &amp; Exchange Scheme for bank branches including currency chests based on performance in rendering customer service to the members of public</w:t>
      </w:r>
    </w:p>
    <w:p w:rsidR="000575E0" w:rsidRPr="00470480" w:rsidRDefault="000575E0" w:rsidP="000575E0">
      <w:pPr>
        <w:pStyle w:val="NormalWeb"/>
        <w:jc w:val="both"/>
        <w:rPr>
          <w:rFonts w:ascii="Arial" w:hAnsi="Arial" w:cs="Arial"/>
          <w:color w:val="000000"/>
          <w:sz w:val="20"/>
          <w:szCs w:val="20"/>
        </w:rPr>
      </w:pPr>
      <w:r w:rsidRPr="00470480">
        <w:rPr>
          <w:rFonts w:ascii="Arial" w:hAnsi="Arial" w:cs="Arial"/>
          <w:color w:val="000000"/>
          <w:sz w:val="20"/>
          <w:szCs w:val="20"/>
        </w:rPr>
        <w:t>In terms of the Preamble to &amp; under Section 45 of the RBI Act, 1934 and 35 A of the Banking Regulation Act, 1949; the Bank issues guidelines / instructions for realising the objectives of Clean Note Policy as part of currency management. With a view to furthering these objectives, the Bank has formulated a framework of incentives titled Currency Distribution and Exchange Scheme (CDES) to encourage all bank branches to provide better customer services to the members of public.</w:t>
      </w:r>
    </w:p>
    <w:p w:rsidR="000575E0" w:rsidRPr="00470480" w:rsidRDefault="000575E0" w:rsidP="000575E0">
      <w:pPr>
        <w:pStyle w:val="NormalWeb"/>
        <w:jc w:val="both"/>
        <w:rPr>
          <w:rFonts w:ascii="Arial" w:hAnsi="Arial" w:cs="Arial"/>
          <w:color w:val="000000"/>
          <w:sz w:val="20"/>
          <w:szCs w:val="20"/>
        </w:rPr>
      </w:pPr>
      <w:r w:rsidRPr="00470480">
        <w:rPr>
          <w:rFonts w:ascii="Arial" w:hAnsi="Arial" w:cs="Arial"/>
          <w:color w:val="000000"/>
          <w:sz w:val="20"/>
          <w:szCs w:val="20"/>
        </w:rPr>
        <w:t>2. The </w:t>
      </w:r>
      <w:hyperlink r:id="rId239" w:anchor="MD" w:history="1">
        <w:r w:rsidRPr="00470480">
          <w:rPr>
            <w:rStyle w:val="Hyperlink"/>
            <w:rFonts w:ascii="Arial" w:hAnsi="Arial" w:cs="Arial"/>
            <w:sz w:val="20"/>
            <w:szCs w:val="20"/>
          </w:rPr>
          <w:t>Master Direction</w:t>
        </w:r>
      </w:hyperlink>
      <w:r w:rsidRPr="00470480">
        <w:rPr>
          <w:rFonts w:ascii="Arial" w:hAnsi="Arial" w:cs="Arial"/>
          <w:color w:val="000000"/>
          <w:sz w:val="20"/>
          <w:szCs w:val="20"/>
        </w:rPr>
        <w:t> enclosed incorporates updated guidelines / circulars on the subject. The Direction shall be updated from time to time as and when fresh instructions are issued.</w:t>
      </w:r>
    </w:p>
    <w:p w:rsidR="000575E0" w:rsidRPr="00470480" w:rsidRDefault="000575E0" w:rsidP="000575E0">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0575E0" w:rsidRPr="00470480" w:rsidRDefault="000575E0" w:rsidP="00704265">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0575E0" w:rsidRPr="00470480" w:rsidRDefault="000575E0" w:rsidP="000575E0">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704265" w:rsidRPr="00470480" w:rsidRDefault="00704265" w:rsidP="000575E0">
      <w:pPr>
        <w:pStyle w:val="NormalWeb"/>
        <w:jc w:val="both"/>
        <w:rPr>
          <w:rFonts w:ascii="Arial" w:hAnsi="Arial" w:cs="Arial"/>
          <w:color w:val="000000"/>
          <w:sz w:val="20"/>
          <w:szCs w:val="20"/>
        </w:rPr>
      </w:pPr>
    </w:p>
    <w:p w:rsidR="00704265" w:rsidRPr="00470480" w:rsidRDefault="00704265" w:rsidP="000575E0">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240" w:history="1">
        <w:r w:rsidRPr="00470480">
          <w:rPr>
            <w:rStyle w:val="Hyperlink"/>
            <w:rFonts w:ascii="Arial" w:hAnsi="Arial" w:cs="Arial"/>
            <w:sz w:val="20"/>
            <w:szCs w:val="20"/>
          </w:rPr>
          <w:t>https://www.rbi.org.in/Scripts/NotificationUser.aspx?Id=12269&amp;Mode=0</w:t>
        </w:r>
      </w:hyperlink>
    </w:p>
    <w:p w:rsidR="00704265" w:rsidRPr="00470480" w:rsidRDefault="00704265" w:rsidP="000575E0">
      <w:pPr>
        <w:pStyle w:val="NormalWeb"/>
        <w:jc w:val="both"/>
        <w:rPr>
          <w:rFonts w:ascii="Arial" w:hAnsi="Arial" w:cs="Arial"/>
          <w:color w:val="000000"/>
          <w:sz w:val="20"/>
          <w:szCs w:val="20"/>
        </w:rPr>
      </w:pPr>
    </w:p>
    <w:p w:rsidR="000575E0" w:rsidRPr="00470480" w:rsidRDefault="000575E0"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04265" w:rsidP="00783FC1">
      <w:pPr>
        <w:pStyle w:val="NormalWeb"/>
        <w:jc w:val="both"/>
        <w:rPr>
          <w:rFonts w:ascii="Arial" w:hAnsi="Arial" w:cs="Arial"/>
          <w:b/>
          <w:bCs/>
          <w:color w:val="000000"/>
          <w:sz w:val="20"/>
          <w:szCs w:val="20"/>
        </w:rPr>
      </w:pPr>
      <w:r w:rsidRPr="00470480">
        <w:rPr>
          <w:rFonts w:ascii="Arial" w:hAnsi="Arial" w:cs="Arial"/>
          <w:b/>
          <w:bCs/>
          <w:color w:val="000000"/>
          <w:sz w:val="20"/>
          <w:szCs w:val="20"/>
        </w:rPr>
        <w:t>Master Circular – Scheme of Penalties for bank branches including Currency Chests for deficiency in rendering customer service to the members of public</w:t>
      </w:r>
    </w:p>
    <w:p w:rsidR="00704265" w:rsidRPr="00470480" w:rsidRDefault="00704265" w:rsidP="00704265">
      <w:pPr>
        <w:pStyle w:val="NormalWeb"/>
        <w:jc w:val="both"/>
        <w:rPr>
          <w:rFonts w:ascii="Arial" w:hAnsi="Arial" w:cs="Arial"/>
          <w:color w:val="000000"/>
          <w:sz w:val="20"/>
          <w:szCs w:val="20"/>
        </w:rPr>
      </w:pPr>
      <w:r w:rsidRPr="00470480">
        <w:rPr>
          <w:rFonts w:ascii="Arial" w:hAnsi="Arial" w:cs="Arial"/>
          <w:color w:val="000000"/>
          <w:sz w:val="20"/>
          <w:szCs w:val="20"/>
        </w:rPr>
        <w:t>RBI/2022-23/04</w:t>
      </w:r>
      <w:r w:rsidRPr="00470480">
        <w:rPr>
          <w:rFonts w:ascii="Arial" w:hAnsi="Arial" w:cs="Arial"/>
          <w:color w:val="000000"/>
          <w:sz w:val="20"/>
          <w:szCs w:val="20"/>
        </w:rPr>
        <w:br/>
        <w:t>DCM (CC) No.G-5/03.44.01/2022-23</w:t>
      </w:r>
    </w:p>
    <w:p w:rsidR="00704265" w:rsidRPr="00470480" w:rsidRDefault="00704265" w:rsidP="00704265">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704265" w:rsidRPr="00470480" w:rsidRDefault="00704265" w:rsidP="00704265">
      <w:pPr>
        <w:pStyle w:val="NormalWeb"/>
        <w:rPr>
          <w:rFonts w:ascii="Arial" w:hAnsi="Arial" w:cs="Arial"/>
          <w:color w:val="000000"/>
          <w:sz w:val="20"/>
          <w:szCs w:val="20"/>
        </w:rPr>
      </w:pPr>
      <w:r w:rsidRPr="00470480">
        <w:rPr>
          <w:rFonts w:ascii="Arial" w:hAnsi="Arial" w:cs="Arial"/>
          <w:color w:val="000000"/>
          <w:sz w:val="20"/>
          <w:szCs w:val="20"/>
        </w:rPr>
        <w:t>The Chairman/Managing Director/Chief Executive Officers</w:t>
      </w:r>
      <w:r w:rsidRPr="00470480">
        <w:rPr>
          <w:rFonts w:ascii="Arial" w:hAnsi="Arial" w:cs="Arial"/>
          <w:color w:val="000000"/>
          <w:sz w:val="20"/>
          <w:szCs w:val="20"/>
        </w:rPr>
        <w:br/>
        <w:t>All banks</w:t>
      </w:r>
    </w:p>
    <w:p w:rsidR="00704265" w:rsidRPr="00470480" w:rsidRDefault="00704265" w:rsidP="00704265">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Scheme of Penalties for bank branches including Currency Chests for deficiency in rendering customer service to the members of public</w:t>
      </w:r>
    </w:p>
    <w:p w:rsidR="00704265" w:rsidRPr="00470480" w:rsidRDefault="00704265" w:rsidP="00704265">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41" w:tgtFrame="_blank" w:history="1">
        <w:r w:rsidRPr="00470480">
          <w:rPr>
            <w:rStyle w:val="Hyperlink"/>
            <w:rFonts w:ascii="Arial" w:hAnsi="Arial" w:cs="Arial"/>
            <w:sz w:val="20"/>
            <w:szCs w:val="20"/>
          </w:rPr>
          <w:t>Master Circular DCM (CC) No.G-3/03.44.01/2021-22 dated April 01, 2021</w:t>
        </w:r>
      </w:hyperlink>
      <w:r w:rsidRPr="00470480">
        <w:rPr>
          <w:rFonts w:ascii="Arial" w:hAnsi="Arial" w:cs="Arial"/>
          <w:color w:val="000000"/>
          <w:sz w:val="20"/>
          <w:szCs w:val="20"/>
        </w:rPr>
        <w:t> on the scheme of penalties.</w:t>
      </w:r>
    </w:p>
    <w:p w:rsidR="00704265" w:rsidRPr="00470480" w:rsidRDefault="00704265" w:rsidP="00704265">
      <w:pPr>
        <w:pStyle w:val="NormalWeb"/>
        <w:jc w:val="both"/>
        <w:rPr>
          <w:rFonts w:ascii="Arial" w:hAnsi="Arial" w:cs="Arial"/>
          <w:color w:val="000000"/>
          <w:sz w:val="20"/>
          <w:szCs w:val="20"/>
        </w:rPr>
      </w:pPr>
      <w:r w:rsidRPr="00470480">
        <w:rPr>
          <w:rFonts w:ascii="Arial" w:hAnsi="Arial" w:cs="Arial"/>
          <w:color w:val="000000"/>
          <w:sz w:val="20"/>
          <w:szCs w:val="20"/>
        </w:rPr>
        <w:t>2. An updated version on the subject is </w:t>
      </w:r>
      <w:hyperlink r:id="rId242" w:anchor="A_1" w:history="1">
        <w:r w:rsidRPr="00470480">
          <w:rPr>
            <w:rStyle w:val="Hyperlink"/>
            <w:rFonts w:ascii="Arial" w:hAnsi="Arial" w:cs="Arial"/>
            <w:sz w:val="20"/>
            <w:szCs w:val="20"/>
          </w:rPr>
          <w:t>annexed</w:t>
        </w:r>
      </w:hyperlink>
      <w:r w:rsidRPr="00470480">
        <w:rPr>
          <w:rFonts w:ascii="Arial" w:hAnsi="Arial" w:cs="Arial"/>
          <w:color w:val="000000"/>
          <w:sz w:val="20"/>
          <w:szCs w:val="20"/>
        </w:rPr>
        <w:t> for information and necessary action.</w:t>
      </w:r>
    </w:p>
    <w:p w:rsidR="00704265" w:rsidRPr="00470480" w:rsidRDefault="00704265" w:rsidP="00704265">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04265" w:rsidRPr="00470480" w:rsidRDefault="00704265" w:rsidP="00704265">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704265" w:rsidRPr="00470480" w:rsidRDefault="00704265" w:rsidP="00704265">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704265" w:rsidRPr="00470480" w:rsidRDefault="00704265" w:rsidP="00704265">
      <w:pPr>
        <w:pStyle w:val="NormalWeb"/>
        <w:jc w:val="both"/>
        <w:rPr>
          <w:rFonts w:ascii="Arial" w:hAnsi="Arial" w:cs="Arial"/>
          <w:color w:val="000000"/>
          <w:sz w:val="20"/>
          <w:szCs w:val="20"/>
        </w:rPr>
      </w:pPr>
    </w:p>
    <w:p w:rsidR="00704265" w:rsidRPr="00470480" w:rsidRDefault="00704265" w:rsidP="00704265">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243" w:history="1">
        <w:r w:rsidRPr="00470480">
          <w:rPr>
            <w:rStyle w:val="Hyperlink"/>
            <w:rFonts w:ascii="Arial" w:hAnsi="Arial" w:cs="Arial"/>
            <w:sz w:val="20"/>
            <w:szCs w:val="20"/>
          </w:rPr>
          <w:t>https://www.rbi.org.in/Scripts/NotificationUser.aspx?Id=12268&amp;Mode=0</w:t>
        </w:r>
      </w:hyperlink>
    </w:p>
    <w:p w:rsidR="00704265" w:rsidRPr="00470480" w:rsidRDefault="00704265" w:rsidP="00704265">
      <w:pPr>
        <w:pStyle w:val="NormalWeb"/>
        <w:jc w:val="both"/>
        <w:rPr>
          <w:rFonts w:ascii="Arial" w:hAnsi="Arial" w:cs="Arial"/>
          <w:color w:val="000000"/>
          <w:sz w:val="20"/>
          <w:szCs w:val="20"/>
        </w:rPr>
      </w:pPr>
    </w:p>
    <w:p w:rsidR="00704265" w:rsidRPr="00470480" w:rsidRDefault="00704265" w:rsidP="00704265">
      <w:pPr>
        <w:pStyle w:val="NormalWeb"/>
        <w:jc w:val="both"/>
        <w:rPr>
          <w:rFonts w:ascii="Arial" w:hAnsi="Arial" w:cs="Arial"/>
          <w:color w:val="000000"/>
          <w:sz w:val="20"/>
          <w:szCs w:val="20"/>
        </w:rPr>
      </w:pPr>
    </w:p>
    <w:p w:rsidR="00704265" w:rsidRPr="00470480" w:rsidRDefault="00704265" w:rsidP="00704265">
      <w:pPr>
        <w:pStyle w:val="NormalWeb"/>
        <w:jc w:val="both"/>
        <w:rPr>
          <w:rFonts w:ascii="Arial" w:hAnsi="Arial" w:cs="Arial"/>
          <w:color w:val="000000"/>
          <w:sz w:val="20"/>
          <w:szCs w:val="20"/>
        </w:rPr>
      </w:pPr>
    </w:p>
    <w:p w:rsidR="00704265" w:rsidRPr="00470480" w:rsidRDefault="00704265" w:rsidP="00704265">
      <w:pPr>
        <w:pStyle w:val="NormalWeb"/>
        <w:jc w:val="both"/>
        <w:rPr>
          <w:rFonts w:ascii="Arial" w:hAnsi="Arial" w:cs="Arial"/>
          <w:color w:val="000000"/>
          <w:sz w:val="20"/>
          <w:szCs w:val="20"/>
        </w:rPr>
      </w:pPr>
    </w:p>
    <w:p w:rsidR="00704265" w:rsidRPr="00470480" w:rsidRDefault="00704265" w:rsidP="00704265">
      <w:pPr>
        <w:pStyle w:val="NormalWeb"/>
        <w:jc w:val="both"/>
        <w:rPr>
          <w:rFonts w:ascii="Arial" w:hAnsi="Arial" w:cs="Arial"/>
          <w:color w:val="000000"/>
          <w:sz w:val="20"/>
          <w:szCs w:val="20"/>
        </w:rPr>
      </w:pPr>
    </w:p>
    <w:p w:rsidR="00704265" w:rsidRPr="00470480" w:rsidRDefault="00704265" w:rsidP="00704265">
      <w:pPr>
        <w:pStyle w:val="NormalWeb"/>
        <w:jc w:val="both"/>
        <w:rPr>
          <w:rFonts w:ascii="Arial" w:hAnsi="Arial" w:cs="Arial"/>
          <w:color w:val="000000"/>
          <w:sz w:val="20"/>
          <w:szCs w:val="20"/>
        </w:rPr>
      </w:pPr>
    </w:p>
    <w:p w:rsidR="00704265" w:rsidRPr="00470480" w:rsidRDefault="00704265" w:rsidP="00704265">
      <w:pPr>
        <w:pStyle w:val="NormalWeb"/>
        <w:jc w:val="both"/>
        <w:rPr>
          <w:rFonts w:ascii="Arial" w:hAnsi="Arial" w:cs="Arial"/>
          <w:color w:val="000000"/>
          <w:sz w:val="20"/>
          <w:szCs w:val="20"/>
        </w:rPr>
      </w:pPr>
    </w:p>
    <w:p w:rsidR="00704265" w:rsidRPr="00470480" w:rsidRDefault="00704265" w:rsidP="00704265">
      <w:pPr>
        <w:pStyle w:val="NormalWeb"/>
        <w:jc w:val="both"/>
        <w:rPr>
          <w:rFonts w:ascii="Arial" w:hAnsi="Arial" w:cs="Arial"/>
          <w:color w:val="000000"/>
          <w:sz w:val="20"/>
          <w:szCs w:val="20"/>
        </w:rPr>
      </w:pPr>
    </w:p>
    <w:p w:rsidR="00704265" w:rsidRPr="00470480" w:rsidRDefault="00704265" w:rsidP="00704265">
      <w:pPr>
        <w:pStyle w:val="NormalWeb"/>
        <w:jc w:val="both"/>
        <w:rPr>
          <w:rFonts w:ascii="Arial" w:hAnsi="Arial" w:cs="Arial"/>
          <w:color w:val="000000"/>
          <w:sz w:val="20"/>
          <w:szCs w:val="20"/>
        </w:rPr>
      </w:pPr>
    </w:p>
    <w:p w:rsidR="00704265" w:rsidRPr="00470480" w:rsidRDefault="00704265" w:rsidP="00704265">
      <w:pPr>
        <w:pStyle w:val="NormalWeb"/>
        <w:jc w:val="both"/>
        <w:rPr>
          <w:rFonts w:ascii="Arial" w:hAnsi="Arial" w:cs="Arial"/>
          <w:color w:val="000000"/>
          <w:sz w:val="20"/>
          <w:szCs w:val="20"/>
        </w:rPr>
      </w:pPr>
    </w:p>
    <w:p w:rsidR="00704265" w:rsidRPr="00470480" w:rsidRDefault="00704265" w:rsidP="00704265">
      <w:pPr>
        <w:pStyle w:val="NormalWeb"/>
        <w:jc w:val="both"/>
        <w:rPr>
          <w:rFonts w:ascii="Arial" w:hAnsi="Arial" w:cs="Arial"/>
          <w:color w:val="000000"/>
          <w:sz w:val="20"/>
          <w:szCs w:val="20"/>
        </w:rPr>
      </w:pPr>
    </w:p>
    <w:p w:rsidR="00704265" w:rsidRPr="00470480" w:rsidRDefault="00704265" w:rsidP="00704265">
      <w:pPr>
        <w:pStyle w:val="NormalWeb"/>
        <w:jc w:val="both"/>
        <w:rPr>
          <w:rFonts w:ascii="Arial" w:hAnsi="Arial" w:cs="Arial"/>
          <w:color w:val="000000"/>
          <w:sz w:val="20"/>
          <w:szCs w:val="20"/>
        </w:rPr>
      </w:pPr>
    </w:p>
    <w:p w:rsidR="00704265" w:rsidRPr="00470480" w:rsidRDefault="00704265" w:rsidP="00704265">
      <w:pPr>
        <w:pStyle w:val="NormalWeb"/>
        <w:jc w:val="both"/>
        <w:rPr>
          <w:rFonts w:ascii="Arial" w:hAnsi="Arial" w:cs="Arial"/>
          <w:color w:val="000000"/>
          <w:sz w:val="20"/>
          <w:szCs w:val="20"/>
        </w:rPr>
      </w:pPr>
    </w:p>
    <w:p w:rsidR="00704265" w:rsidRPr="00470480" w:rsidRDefault="00704265" w:rsidP="00704265">
      <w:pPr>
        <w:pStyle w:val="NormalWeb"/>
        <w:jc w:val="both"/>
        <w:rPr>
          <w:rFonts w:ascii="Arial" w:hAnsi="Arial" w:cs="Arial"/>
          <w:b/>
          <w:bCs/>
          <w:color w:val="000000"/>
          <w:sz w:val="20"/>
          <w:szCs w:val="20"/>
        </w:rPr>
      </w:pPr>
      <w:r w:rsidRPr="00470480">
        <w:rPr>
          <w:rFonts w:ascii="Arial" w:hAnsi="Arial" w:cs="Arial"/>
          <w:b/>
          <w:bCs/>
          <w:color w:val="000000"/>
          <w:sz w:val="20"/>
          <w:szCs w:val="20"/>
        </w:rPr>
        <w:t>Master Circular - Asset Reconstruction Companies</w:t>
      </w:r>
    </w:p>
    <w:p w:rsidR="00704265" w:rsidRPr="00470480" w:rsidRDefault="00704265" w:rsidP="00704265">
      <w:pPr>
        <w:pStyle w:val="NormalWeb"/>
        <w:jc w:val="both"/>
        <w:rPr>
          <w:rFonts w:ascii="Arial" w:hAnsi="Arial" w:cs="Arial"/>
          <w:color w:val="000000"/>
          <w:sz w:val="20"/>
          <w:szCs w:val="20"/>
        </w:rPr>
      </w:pPr>
      <w:r w:rsidRPr="00470480">
        <w:rPr>
          <w:rFonts w:ascii="Arial" w:hAnsi="Arial" w:cs="Arial"/>
          <w:color w:val="000000"/>
          <w:sz w:val="20"/>
          <w:szCs w:val="20"/>
        </w:rPr>
        <w:t>RBI/2022-23/03</w:t>
      </w:r>
      <w:r w:rsidRPr="00470480">
        <w:rPr>
          <w:rFonts w:ascii="Arial" w:hAnsi="Arial" w:cs="Arial"/>
          <w:color w:val="000000"/>
          <w:sz w:val="20"/>
          <w:szCs w:val="20"/>
        </w:rPr>
        <w:br/>
        <w:t>DOR.SIG.FIN.REC 1/26.03.001/2022-23</w:t>
      </w:r>
    </w:p>
    <w:p w:rsidR="00704265" w:rsidRPr="00470480" w:rsidRDefault="00704265" w:rsidP="00704265">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704265" w:rsidRPr="00470480" w:rsidRDefault="00704265" w:rsidP="00704265">
      <w:pPr>
        <w:pStyle w:val="NormalWeb"/>
        <w:jc w:val="both"/>
        <w:rPr>
          <w:rFonts w:ascii="Arial" w:hAnsi="Arial" w:cs="Arial"/>
          <w:color w:val="000000"/>
          <w:sz w:val="20"/>
          <w:szCs w:val="20"/>
        </w:rPr>
      </w:pPr>
      <w:r w:rsidRPr="00470480">
        <w:rPr>
          <w:rFonts w:ascii="Arial" w:hAnsi="Arial" w:cs="Arial"/>
          <w:color w:val="000000"/>
          <w:sz w:val="20"/>
          <w:szCs w:val="20"/>
        </w:rPr>
        <w:t>All Asset Reconstruction Companies</w:t>
      </w:r>
    </w:p>
    <w:p w:rsidR="00704265" w:rsidRPr="00470480" w:rsidRDefault="00704265" w:rsidP="00704265">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704265" w:rsidRPr="00470480" w:rsidRDefault="00704265" w:rsidP="00704265">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Asset Reconstruction Companies</w:t>
      </w:r>
    </w:p>
    <w:p w:rsidR="00704265" w:rsidRPr="00470480" w:rsidRDefault="00704265" w:rsidP="00704265">
      <w:pPr>
        <w:pStyle w:val="NormalWeb"/>
        <w:jc w:val="both"/>
        <w:rPr>
          <w:rFonts w:ascii="Arial" w:hAnsi="Arial" w:cs="Arial"/>
          <w:color w:val="000000"/>
          <w:sz w:val="20"/>
          <w:szCs w:val="20"/>
        </w:rPr>
      </w:pPr>
      <w:r w:rsidRPr="00470480">
        <w:rPr>
          <w:rFonts w:ascii="Arial" w:hAnsi="Arial" w:cs="Arial"/>
          <w:color w:val="000000"/>
          <w:sz w:val="20"/>
          <w:szCs w:val="20"/>
        </w:rPr>
        <w:t>In order to have all current instructions/guidelines on the subject at one place, the Reserve Bank of India issues updated </w:t>
      </w:r>
      <w:hyperlink r:id="rId244" w:anchor="MC1" w:history="1">
        <w:r w:rsidRPr="00470480">
          <w:rPr>
            <w:rStyle w:val="Hyperlink"/>
            <w:rFonts w:ascii="Arial" w:hAnsi="Arial" w:cs="Arial"/>
            <w:sz w:val="20"/>
            <w:szCs w:val="20"/>
          </w:rPr>
          <w:t>circulars/guidelines</w:t>
        </w:r>
      </w:hyperlink>
      <w:r w:rsidRPr="00470480">
        <w:rPr>
          <w:rFonts w:ascii="Arial" w:hAnsi="Arial" w:cs="Arial"/>
          <w:color w:val="000000"/>
          <w:sz w:val="20"/>
          <w:szCs w:val="20"/>
        </w:rPr>
        <w:t>. The instructions contained in The Asset Reconstruction Companies (Reserve Bank) Guidelines and Directions, 2003 (vide </w:t>
      </w:r>
      <w:hyperlink r:id="rId245" w:tgtFrame="_blank" w:history="1">
        <w:r w:rsidRPr="00470480">
          <w:rPr>
            <w:rStyle w:val="Hyperlink"/>
            <w:rFonts w:ascii="Arial" w:hAnsi="Arial" w:cs="Arial"/>
            <w:sz w:val="20"/>
            <w:szCs w:val="20"/>
          </w:rPr>
          <w:t>Notification No.DNBS.2/CGM(CSM)-2003, dated April 23, 2003</w:t>
        </w:r>
      </w:hyperlink>
      <w:r w:rsidRPr="00470480">
        <w:rPr>
          <w:rFonts w:ascii="Arial" w:hAnsi="Arial" w:cs="Arial"/>
          <w:color w:val="000000"/>
          <w:sz w:val="20"/>
          <w:szCs w:val="20"/>
        </w:rPr>
        <w:t>) together with </w:t>
      </w:r>
      <w:hyperlink r:id="rId246" w:anchor="Guidance" w:history="1">
        <w:r w:rsidRPr="00470480">
          <w:rPr>
            <w:rStyle w:val="Hyperlink"/>
            <w:rFonts w:ascii="Arial" w:hAnsi="Arial" w:cs="Arial"/>
            <w:sz w:val="20"/>
            <w:szCs w:val="20"/>
          </w:rPr>
          <w:t>Guidance Notes</w:t>
        </w:r>
      </w:hyperlink>
      <w:r w:rsidRPr="00470480">
        <w:rPr>
          <w:rFonts w:ascii="Arial" w:hAnsi="Arial" w:cs="Arial"/>
          <w:color w:val="000000"/>
          <w:sz w:val="20"/>
          <w:szCs w:val="20"/>
        </w:rPr>
        <w:t> updated as on March 31, 2022 are reproduced below.</w:t>
      </w:r>
    </w:p>
    <w:p w:rsidR="00704265" w:rsidRPr="00470480" w:rsidRDefault="00704265" w:rsidP="00704265">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704265" w:rsidRDefault="00704265" w:rsidP="00704265">
      <w:pPr>
        <w:pStyle w:val="NormalWeb"/>
        <w:jc w:val="right"/>
        <w:rPr>
          <w:rFonts w:ascii="Arial" w:hAnsi="Arial" w:cs="Arial"/>
          <w:color w:val="000000"/>
          <w:sz w:val="20"/>
          <w:szCs w:val="20"/>
        </w:rPr>
      </w:pPr>
      <w:r w:rsidRPr="00470480">
        <w:rPr>
          <w:rFonts w:ascii="Arial" w:hAnsi="Arial" w:cs="Arial"/>
          <w:color w:val="000000"/>
          <w:sz w:val="20"/>
          <w:szCs w:val="20"/>
        </w:rPr>
        <w:t>(J P Sharma)</w:t>
      </w:r>
      <w:r w:rsidRPr="00470480">
        <w:rPr>
          <w:rFonts w:ascii="Arial" w:hAnsi="Arial" w:cs="Arial"/>
          <w:color w:val="000000"/>
          <w:sz w:val="20"/>
          <w:szCs w:val="20"/>
        </w:rPr>
        <w:br/>
        <w:t>Chief General Manager</w:t>
      </w:r>
    </w:p>
    <w:p w:rsidR="00454EA3" w:rsidRDefault="00454EA3" w:rsidP="00454EA3">
      <w:pPr>
        <w:pStyle w:val="NormalWeb"/>
        <w:jc w:val="both"/>
        <w:rPr>
          <w:rFonts w:ascii="Arial" w:hAnsi="Arial" w:cs="Arial"/>
          <w:color w:val="000000"/>
          <w:sz w:val="20"/>
          <w:szCs w:val="20"/>
        </w:rPr>
      </w:pPr>
    </w:p>
    <w:p w:rsidR="00536CF8" w:rsidRDefault="00536CF8" w:rsidP="00536CF8">
      <w:pPr>
        <w:pStyle w:val="NormalWeb"/>
        <w:spacing w:before="0" w:beforeAutospacing="0" w:after="0" w:afterAutospacing="0"/>
        <w:jc w:val="both"/>
        <w:rPr>
          <w:rFonts w:ascii="Arial" w:hAnsi="Arial" w:cs="Arial"/>
          <w:color w:val="000000"/>
          <w:sz w:val="20"/>
          <w:szCs w:val="20"/>
        </w:rPr>
      </w:pPr>
    </w:p>
    <w:p w:rsidR="00454EA3" w:rsidRPr="00470480" w:rsidRDefault="00454EA3" w:rsidP="00536CF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704265" w:rsidRPr="00470480" w:rsidRDefault="00421545" w:rsidP="00536CF8">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247" w:history="1">
        <w:r w:rsidRPr="00470480">
          <w:rPr>
            <w:rStyle w:val="Hyperlink"/>
            <w:rFonts w:ascii="Arial" w:hAnsi="Arial" w:cs="Arial"/>
            <w:sz w:val="20"/>
            <w:szCs w:val="20"/>
          </w:rPr>
          <w:t>https://www.rbi.org.in/Scripts/NotificationUser.aspx?Id=12267&amp;Mode=0</w:t>
        </w:r>
      </w:hyperlink>
    </w:p>
    <w:p w:rsidR="00421545" w:rsidRPr="00470480" w:rsidRDefault="00421545" w:rsidP="00704265">
      <w:pPr>
        <w:pStyle w:val="NormalWeb"/>
        <w:jc w:val="both"/>
        <w:rPr>
          <w:rFonts w:ascii="Arial" w:hAnsi="Arial" w:cs="Arial"/>
          <w:color w:val="000000"/>
          <w:sz w:val="20"/>
          <w:szCs w:val="20"/>
        </w:rPr>
      </w:pPr>
    </w:p>
    <w:p w:rsidR="00421545" w:rsidRPr="00470480" w:rsidRDefault="00421545" w:rsidP="00704265">
      <w:pPr>
        <w:pStyle w:val="NormalWeb"/>
        <w:jc w:val="both"/>
        <w:rPr>
          <w:rFonts w:ascii="Arial" w:hAnsi="Arial" w:cs="Arial"/>
          <w:color w:val="000000"/>
          <w:sz w:val="20"/>
          <w:szCs w:val="20"/>
        </w:rPr>
      </w:pPr>
    </w:p>
    <w:p w:rsidR="00421545" w:rsidRPr="00470480" w:rsidRDefault="00421545" w:rsidP="00704265">
      <w:pPr>
        <w:pStyle w:val="NormalWeb"/>
        <w:jc w:val="both"/>
        <w:rPr>
          <w:rFonts w:ascii="Arial" w:hAnsi="Arial" w:cs="Arial"/>
          <w:color w:val="000000"/>
          <w:sz w:val="20"/>
          <w:szCs w:val="20"/>
        </w:rPr>
      </w:pPr>
    </w:p>
    <w:p w:rsidR="00421545" w:rsidRPr="00470480" w:rsidRDefault="00421545" w:rsidP="00704265">
      <w:pPr>
        <w:pStyle w:val="NormalWeb"/>
        <w:jc w:val="both"/>
        <w:rPr>
          <w:rFonts w:ascii="Arial" w:hAnsi="Arial" w:cs="Arial"/>
          <w:color w:val="000000"/>
          <w:sz w:val="20"/>
          <w:szCs w:val="20"/>
        </w:rPr>
      </w:pPr>
    </w:p>
    <w:p w:rsidR="00421545" w:rsidRPr="00470480" w:rsidRDefault="00421545" w:rsidP="00704265">
      <w:pPr>
        <w:pStyle w:val="NormalWeb"/>
        <w:jc w:val="both"/>
        <w:rPr>
          <w:rFonts w:ascii="Arial" w:hAnsi="Arial" w:cs="Arial"/>
          <w:color w:val="000000"/>
          <w:sz w:val="20"/>
          <w:szCs w:val="20"/>
        </w:rPr>
      </w:pPr>
    </w:p>
    <w:p w:rsidR="00421545" w:rsidRPr="00470480" w:rsidRDefault="00421545" w:rsidP="00704265">
      <w:pPr>
        <w:pStyle w:val="NormalWeb"/>
        <w:jc w:val="both"/>
        <w:rPr>
          <w:rFonts w:ascii="Arial" w:hAnsi="Arial" w:cs="Arial"/>
          <w:color w:val="000000"/>
          <w:sz w:val="20"/>
          <w:szCs w:val="20"/>
        </w:rPr>
      </w:pPr>
    </w:p>
    <w:p w:rsidR="00421545" w:rsidRPr="00470480" w:rsidRDefault="00421545" w:rsidP="00704265">
      <w:pPr>
        <w:pStyle w:val="NormalWeb"/>
        <w:jc w:val="both"/>
        <w:rPr>
          <w:rFonts w:ascii="Arial" w:hAnsi="Arial" w:cs="Arial"/>
          <w:color w:val="000000"/>
          <w:sz w:val="20"/>
          <w:szCs w:val="20"/>
        </w:rPr>
      </w:pPr>
    </w:p>
    <w:p w:rsidR="00421545" w:rsidRPr="00470480" w:rsidRDefault="00421545" w:rsidP="00704265">
      <w:pPr>
        <w:pStyle w:val="NormalWeb"/>
        <w:jc w:val="both"/>
        <w:rPr>
          <w:rFonts w:ascii="Arial" w:hAnsi="Arial" w:cs="Arial"/>
          <w:color w:val="000000"/>
          <w:sz w:val="20"/>
          <w:szCs w:val="20"/>
        </w:rPr>
      </w:pPr>
    </w:p>
    <w:p w:rsidR="00421545" w:rsidRPr="00470480" w:rsidRDefault="00421545" w:rsidP="00704265">
      <w:pPr>
        <w:pStyle w:val="NormalWeb"/>
        <w:jc w:val="both"/>
        <w:rPr>
          <w:rFonts w:ascii="Arial" w:hAnsi="Arial" w:cs="Arial"/>
          <w:color w:val="000000"/>
          <w:sz w:val="20"/>
          <w:szCs w:val="20"/>
        </w:rPr>
      </w:pPr>
    </w:p>
    <w:p w:rsidR="00421545" w:rsidRPr="00470480" w:rsidRDefault="00421545" w:rsidP="00704265">
      <w:pPr>
        <w:pStyle w:val="NormalWeb"/>
        <w:jc w:val="both"/>
        <w:rPr>
          <w:rFonts w:ascii="Arial" w:hAnsi="Arial" w:cs="Arial"/>
          <w:color w:val="000000"/>
          <w:sz w:val="20"/>
          <w:szCs w:val="20"/>
        </w:rPr>
      </w:pPr>
    </w:p>
    <w:p w:rsidR="00421545" w:rsidRPr="00470480" w:rsidRDefault="00421545" w:rsidP="00704265">
      <w:pPr>
        <w:pStyle w:val="NormalWeb"/>
        <w:jc w:val="both"/>
        <w:rPr>
          <w:rFonts w:ascii="Arial" w:hAnsi="Arial" w:cs="Arial"/>
          <w:color w:val="000000"/>
          <w:sz w:val="20"/>
          <w:szCs w:val="20"/>
        </w:rPr>
      </w:pPr>
    </w:p>
    <w:p w:rsidR="00421545" w:rsidRPr="00470480" w:rsidRDefault="00421545" w:rsidP="00704265">
      <w:pPr>
        <w:pStyle w:val="NormalWeb"/>
        <w:jc w:val="both"/>
        <w:rPr>
          <w:rFonts w:ascii="Arial" w:hAnsi="Arial" w:cs="Arial"/>
          <w:color w:val="000000"/>
          <w:sz w:val="20"/>
          <w:szCs w:val="20"/>
        </w:rPr>
      </w:pPr>
    </w:p>
    <w:p w:rsidR="00421545" w:rsidRPr="00470480" w:rsidRDefault="00421545" w:rsidP="00704265">
      <w:pPr>
        <w:pStyle w:val="NormalWeb"/>
        <w:jc w:val="both"/>
        <w:rPr>
          <w:rFonts w:ascii="Arial" w:hAnsi="Arial" w:cs="Arial"/>
          <w:color w:val="000000"/>
          <w:sz w:val="20"/>
          <w:szCs w:val="20"/>
        </w:rPr>
      </w:pPr>
    </w:p>
    <w:p w:rsidR="00421545" w:rsidRPr="00470480" w:rsidRDefault="00421545" w:rsidP="00704265">
      <w:pPr>
        <w:pStyle w:val="NormalWeb"/>
        <w:jc w:val="both"/>
        <w:rPr>
          <w:rFonts w:ascii="Arial" w:hAnsi="Arial" w:cs="Arial"/>
          <w:b/>
          <w:bCs/>
          <w:color w:val="000000"/>
          <w:sz w:val="20"/>
          <w:szCs w:val="20"/>
        </w:rPr>
      </w:pPr>
      <w:r w:rsidRPr="00470480">
        <w:rPr>
          <w:rFonts w:ascii="Arial" w:hAnsi="Arial" w:cs="Arial"/>
          <w:b/>
          <w:bCs/>
          <w:color w:val="000000"/>
          <w:sz w:val="20"/>
          <w:szCs w:val="20"/>
        </w:rPr>
        <w:t>Master Circular on SHG-Bank Linkage Programme</w:t>
      </w:r>
    </w:p>
    <w:p w:rsidR="00421545" w:rsidRPr="00470480" w:rsidRDefault="00421545" w:rsidP="00421545">
      <w:pPr>
        <w:pStyle w:val="NormalWeb"/>
        <w:jc w:val="both"/>
        <w:rPr>
          <w:rFonts w:ascii="Arial" w:hAnsi="Arial" w:cs="Arial"/>
          <w:color w:val="000000"/>
          <w:sz w:val="20"/>
          <w:szCs w:val="20"/>
        </w:rPr>
      </w:pPr>
      <w:r w:rsidRPr="00470480">
        <w:rPr>
          <w:rFonts w:ascii="Arial" w:hAnsi="Arial" w:cs="Arial"/>
          <w:color w:val="000000"/>
          <w:sz w:val="20"/>
          <w:szCs w:val="20"/>
        </w:rPr>
        <w:t>RBI/2022-23/02</w:t>
      </w:r>
      <w:r w:rsidRPr="00470480">
        <w:rPr>
          <w:rFonts w:ascii="Arial" w:hAnsi="Arial" w:cs="Arial"/>
          <w:color w:val="000000"/>
          <w:sz w:val="20"/>
          <w:szCs w:val="20"/>
        </w:rPr>
        <w:br/>
        <w:t>FIDD.CO.FID.BC.No.1/12.01.033/2022-23</w:t>
      </w:r>
    </w:p>
    <w:p w:rsidR="00421545" w:rsidRPr="00470480" w:rsidRDefault="00421545" w:rsidP="00421545">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421545" w:rsidRPr="00470480" w:rsidRDefault="00421545" w:rsidP="00421545">
      <w:pPr>
        <w:pStyle w:val="NormalWeb"/>
        <w:rPr>
          <w:rFonts w:ascii="Arial" w:hAnsi="Arial" w:cs="Arial"/>
          <w:color w:val="000000"/>
          <w:sz w:val="20"/>
          <w:szCs w:val="20"/>
        </w:rPr>
      </w:pPr>
      <w:r w:rsidRPr="00470480">
        <w:rPr>
          <w:rFonts w:ascii="Arial" w:hAnsi="Arial" w:cs="Arial"/>
          <w:color w:val="000000"/>
          <w:sz w:val="20"/>
          <w:szCs w:val="20"/>
        </w:rPr>
        <w:t>The Chairman / Managing Director /</w:t>
      </w:r>
      <w:r w:rsidRPr="00470480">
        <w:rPr>
          <w:rFonts w:ascii="Arial" w:hAnsi="Arial" w:cs="Arial"/>
          <w:color w:val="000000"/>
          <w:sz w:val="20"/>
          <w:szCs w:val="20"/>
        </w:rPr>
        <w:br/>
        <w:t>Chief Executive Officer</w:t>
      </w:r>
      <w:r w:rsidRPr="00470480">
        <w:rPr>
          <w:rFonts w:ascii="Arial" w:hAnsi="Arial" w:cs="Arial"/>
          <w:color w:val="000000"/>
          <w:sz w:val="20"/>
          <w:szCs w:val="20"/>
        </w:rPr>
        <w:br/>
        <w:t>All Scheduled Commercial Banks</w:t>
      </w:r>
    </w:p>
    <w:p w:rsidR="00421545" w:rsidRPr="00470480" w:rsidRDefault="00421545" w:rsidP="00421545">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421545" w:rsidRPr="00470480" w:rsidRDefault="00421545" w:rsidP="00421545">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on SHG-Bank Linkage Programme</w:t>
      </w:r>
    </w:p>
    <w:p w:rsidR="00421545" w:rsidRPr="00470480" w:rsidRDefault="00421545" w:rsidP="00421545">
      <w:pPr>
        <w:pStyle w:val="NormalWeb"/>
        <w:jc w:val="both"/>
        <w:rPr>
          <w:rFonts w:ascii="Arial" w:hAnsi="Arial" w:cs="Arial"/>
          <w:color w:val="000000"/>
          <w:sz w:val="20"/>
          <w:szCs w:val="20"/>
        </w:rPr>
      </w:pPr>
      <w:r w:rsidRPr="00470480">
        <w:rPr>
          <w:rFonts w:ascii="Arial" w:hAnsi="Arial" w:cs="Arial"/>
          <w:color w:val="000000"/>
          <w:sz w:val="20"/>
          <w:szCs w:val="20"/>
        </w:rPr>
        <w:t>The Reserve Bank of India has, from time to time, issued a number of guidelines/instructions to banks on SHG-Bank Linkage Programme. In order to enable banks to have instructions at one place, the </w:t>
      </w:r>
      <w:hyperlink r:id="rId248" w:anchor="MC2" w:history="1">
        <w:r w:rsidRPr="00470480">
          <w:rPr>
            <w:rStyle w:val="Hyperlink"/>
            <w:rFonts w:ascii="Arial" w:hAnsi="Arial" w:cs="Arial"/>
            <w:sz w:val="20"/>
            <w:szCs w:val="20"/>
          </w:rPr>
          <w:t>Master Circular</w:t>
        </w:r>
      </w:hyperlink>
      <w:r w:rsidRPr="00470480">
        <w:rPr>
          <w:rFonts w:ascii="Arial" w:hAnsi="Arial" w:cs="Arial"/>
          <w:color w:val="000000"/>
          <w:sz w:val="20"/>
          <w:szCs w:val="20"/>
        </w:rPr>
        <w:t> incorporating the existing guidelines/ instructions on the subject has been updated and enclosed. This Master Circular consolidates the circulars issued by Reserve Bank on the subject up to March 31, 2022, as indicated in the </w:t>
      </w:r>
      <w:hyperlink r:id="rId249" w:anchor="AP1" w:history="1">
        <w:r w:rsidRPr="00470480">
          <w:rPr>
            <w:rStyle w:val="Hyperlink"/>
            <w:rFonts w:ascii="Arial" w:hAnsi="Arial" w:cs="Arial"/>
            <w:sz w:val="20"/>
            <w:szCs w:val="20"/>
          </w:rPr>
          <w:t>Appendix</w:t>
        </w:r>
      </w:hyperlink>
      <w:r w:rsidRPr="00470480">
        <w:rPr>
          <w:rFonts w:ascii="Arial" w:hAnsi="Arial" w:cs="Arial"/>
          <w:color w:val="000000"/>
          <w:sz w:val="20"/>
          <w:szCs w:val="20"/>
        </w:rPr>
        <w:t>.</w:t>
      </w:r>
    </w:p>
    <w:p w:rsidR="00421545" w:rsidRPr="00470480" w:rsidRDefault="00421545" w:rsidP="00421545">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421545" w:rsidRDefault="00421545" w:rsidP="00421545">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Sonali</w:t>
      </w:r>
      <w:proofErr w:type="spellEnd"/>
      <w:r w:rsidRPr="00470480">
        <w:rPr>
          <w:rFonts w:ascii="Arial" w:hAnsi="Arial" w:cs="Arial"/>
          <w:color w:val="000000"/>
          <w:sz w:val="20"/>
          <w:szCs w:val="20"/>
        </w:rPr>
        <w:t xml:space="preserve"> Sen Gupta)</w:t>
      </w:r>
      <w:r w:rsidRPr="00470480">
        <w:rPr>
          <w:rFonts w:ascii="Arial" w:hAnsi="Arial" w:cs="Arial"/>
          <w:color w:val="000000"/>
          <w:sz w:val="20"/>
          <w:szCs w:val="20"/>
        </w:rPr>
        <w:br/>
        <w:t>Chief General Manager-in-Charge</w:t>
      </w:r>
      <w:r w:rsidRPr="00470480">
        <w:rPr>
          <w:rFonts w:ascii="Arial" w:hAnsi="Arial" w:cs="Arial"/>
          <w:color w:val="000000"/>
          <w:sz w:val="20"/>
          <w:szCs w:val="20"/>
        </w:rPr>
        <w:br/>
      </w: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454EA3" w:rsidRPr="00470480" w:rsidRDefault="00454EA3" w:rsidP="00454EA3">
      <w:pPr>
        <w:pStyle w:val="NormalWeb"/>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454EA3" w:rsidRPr="00470480" w:rsidRDefault="00454EA3" w:rsidP="00421545">
      <w:pPr>
        <w:pStyle w:val="NormalWeb"/>
        <w:rPr>
          <w:rFonts w:ascii="Arial" w:hAnsi="Arial" w:cs="Arial"/>
          <w:color w:val="000000"/>
          <w:sz w:val="20"/>
          <w:szCs w:val="20"/>
        </w:rPr>
      </w:pPr>
    </w:p>
    <w:p w:rsidR="00421545" w:rsidRPr="00470480" w:rsidRDefault="00421545" w:rsidP="00421545">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50" w:history="1">
        <w:r w:rsidRPr="00470480">
          <w:rPr>
            <w:rStyle w:val="Hyperlink"/>
            <w:rFonts w:ascii="Arial" w:hAnsi="Arial" w:cs="Arial"/>
            <w:sz w:val="20"/>
            <w:szCs w:val="20"/>
          </w:rPr>
          <w:t>https://www.rbi.org.in/Scripts/NotificationUser.aspx?Id=12266&amp;Mode=0</w:t>
        </w:r>
      </w:hyperlink>
    </w:p>
    <w:p w:rsidR="00421545" w:rsidRPr="00470480" w:rsidRDefault="00421545" w:rsidP="00421545">
      <w:pPr>
        <w:pStyle w:val="NormalWeb"/>
        <w:rPr>
          <w:rFonts w:ascii="Arial" w:hAnsi="Arial" w:cs="Arial"/>
          <w:color w:val="000000"/>
          <w:sz w:val="20"/>
          <w:szCs w:val="20"/>
        </w:rPr>
      </w:pPr>
    </w:p>
    <w:p w:rsidR="00421545" w:rsidRPr="00470480" w:rsidRDefault="00421545" w:rsidP="00704265">
      <w:pPr>
        <w:pStyle w:val="NormalWeb"/>
        <w:jc w:val="both"/>
        <w:rPr>
          <w:rFonts w:ascii="Arial" w:hAnsi="Arial" w:cs="Arial"/>
          <w:color w:val="000000"/>
          <w:sz w:val="20"/>
          <w:szCs w:val="20"/>
        </w:rPr>
      </w:pPr>
    </w:p>
    <w:p w:rsidR="00421545" w:rsidRPr="00470480" w:rsidRDefault="00421545" w:rsidP="00704265">
      <w:pPr>
        <w:pStyle w:val="NormalWeb"/>
        <w:jc w:val="both"/>
        <w:rPr>
          <w:rFonts w:ascii="Arial" w:hAnsi="Arial" w:cs="Arial"/>
          <w:color w:val="000000"/>
          <w:sz w:val="20"/>
          <w:szCs w:val="20"/>
        </w:rPr>
      </w:pPr>
    </w:p>
    <w:p w:rsidR="00421545" w:rsidRPr="00470480" w:rsidRDefault="00421545" w:rsidP="00704265">
      <w:pPr>
        <w:pStyle w:val="NormalWeb"/>
        <w:jc w:val="both"/>
        <w:rPr>
          <w:rFonts w:ascii="Arial" w:hAnsi="Arial" w:cs="Arial"/>
          <w:color w:val="000000"/>
          <w:sz w:val="20"/>
          <w:szCs w:val="20"/>
        </w:rPr>
      </w:pPr>
    </w:p>
    <w:p w:rsidR="00704265" w:rsidRPr="00470480" w:rsidRDefault="00704265" w:rsidP="00783FC1">
      <w:pPr>
        <w:pStyle w:val="NormalWeb"/>
        <w:jc w:val="both"/>
        <w:rPr>
          <w:rFonts w:ascii="Arial" w:hAnsi="Arial" w:cs="Arial"/>
          <w:color w:val="000000"/>
          <w:sz w:val="20"/>
          <w:szCs w:val="20"/>
        </w:rPr>
      </w:pPr>
    </w:p>
    <w:p w:rsidR="00783FC1" w:rsidRPr="00470480" w:rsidRDefault="00783FC1" w:rsidP="00783FC1">
      <w:pPr>
        <w:pStyle w:val="NormalWeb"/>
        <w:jc w:val="both"/>
        <w:rPr>
          <w:rFonts w:ascii="Arial" w:hAnsi="Arial" w:cs="Arial"/>
          <w:color w:val="000000"/>
          <w:sz w:val="20"/>
          <w:szCs w:val="20"/>
        </w:rPr>
      </w:pPr>
    </w:p>
    <w:p w:rsidR="00783FC1" w:rsidRPr="00470480" w:rsidRDefault="00783FC1" w:rsidP="00BE4BD6">
      <w:pPr>
        <w:spacing w:after="0"/>
        <w:jc w:val="both"/>
        <w:rPr>
          <w:rFonts w:ascii="Arial" w:hAnsi="Arial" w:cs="Arial"/>
          <w:sz w:val="20"/>
          <w:szCs w:val="20"/>
        </w:rPr>
      </w:pPr>
    </w:p>
    <w:p w:rsidR="00783FC1" w:rsidRPr="00470480" w:rsidRDefault="00783FC1" w:rsidP="00BE4BD6">
      <w:pPr>
        <w:spacing w:after="0"/>
        <w:jc w:val="both"/>
        <w:rPr>
          <w:rFonts w:ascii="Arial" w:hAnsi="Arial" w:cs="Arial"/>
          <w:sz w:val="20"/>
          <w:szCs w:val="20"/>
        </w:rPr>
      </w:pPr>
    </w:p>
    <w:p w:rsidR="00421545" w:rsidRPr="00470480" w:rsidRDefault="00421545" w:rsidP="00BE4BD6">
      <w:pPr>
        <w:spacing w:after="0"/>
        <w:jc w:val="both"/>
        <w:rPr>
          <w:rFonts w:ascii="Arial" w:hAnsi="Arial" w:cs="Arial"/>
          <w:sz w:val="20"/>
          <w:szCs w:val="20"/>
        </w:rPr>
      </w:pPr>
    </w:p>
    <w:p w:rsidR="00421545" w:rsidRPr="00470480" w:rsidRDefault="00421545" w:rsidP="00BE4BD6">
      <w:pPr>
        <w:spacing w:after="0"/>
        <w:jc w:val="both"/>
        <w:rPr>
          <w:rFonts w:ascii="Arial" w:hAnsi="Arial" w:cs="Arial"/>
          <w:sz w:val="20"/>
          <w:szCs w:val="20"/>
        </w:rPr>
      </w:pPr>
    </w:p>
    <w:p w:rsidR="00421545" w:rsidRPr="00470480" w:rsidRDefault="00421545" w:rsidP="00BE4BD6">
      <w:pPr>
        <w:spacing w:after="0"/>
        <w:jc w:val="both"/>
        <w:rPr>
          <w:rFonts w:ascii="Arial" w:hAnsi="Arial" w:cs="Arial"/>
          <w:sz w:val="20"/>
          <w:szCs w:val="20"/>
        </w:rPr>
      </w:pPr>
    </w:p>
    <w:p w:rsidR="00421545" w:rsidRPr="00470480" w:rsidRDefault="00421545" w:rsidP="00BE4BD6">
      <w:pPr>
        <w:spacing w:after="0"/>
        <w:jc w:val="both"/>
        <w:rPr>
          <w:rFonts w:ascii="Arial" w:hAnsi="Arial" w:cs="Arial"/>
          <w:sz w:val="20"/>
          <w:szCs w:val="20"/>
        </w:rPr>
      </w:pPr>
    </w:p>
    <w:p w:rsidR="00421545" w:rsidRPr="00470480" w:rsidRDefault="00421545" w:rsidP="00BE4BD6">
      <w:pPr>
        <w:spacing w:after="0"/>
        <w:jc w:val="both"/>
        <w:rPr>
          <w:rFonts w:ascii="Arial" w:hAnsi="Arial" w:cs="Arial"/>
          <w:sz w:val="20"/>
          <w:szCs w:val="20"/>
        </w:rPr>
      </w:pPr>
    </w:p>
    <w:p w:rsidR="00421545" w:rsidRPr="00470480" w:rsidRDefault="00421545" w:rsidP="00BE4BD6">
      <w:pPr>
        <w:spacing w:after="0"/>
        <w:jc w:val="both"/>
        <w:rPr>
          <w:rFonts w:ascii="Arial" w:hAnsi="Arial" w:cs="Arial"/>
          <w:sz w:val="20"/>
          <w:szCs w:val="20"/>
        </w:rPr>
      </w:pPr>
    </w:p>
    <w:p w:rsidR="00421545" w:rsidRPr="00470480" w:rsidRDefault="00421545" w:rsidP="00BE4BD6">
      <w:pPr>
        <w:spacing w:after="0"/>
        <w:jc w:val="both"/>
        <w:rPr>
          <w:rFonts w:ascii="Arial" w:hAnsi="Arial" w:cs="Arial"/>
          <w:sz w:val="20"/>
          <w:szCs w:val="20"/>
        </w:rPr>
      </w:pPr>
    </w:p>
    <w:p w:rsidR="00454EA3" w:rsidRDefault="00454EA3" w:rsidP="00BE4BD6">
      <w:pPr>
        <w:spacing w:after="0"/>
        <w:jc w:val="both"/>
        <w:rPr>
          <w:rFonts w:ascii="Arial" w:hAnsi="Arial" w:cs="Arial"/>
          <w:sz w:val="20"/>
          <w:szCs w:val="20"/>
        </w:rPr>
      </w:pPr>
    </w:p>
    <w:p w:rsidR="00421545" w:rsidRPr="00470480" w:rsidRDefault="00421545"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Master Circular – Facility for Exchange of Notes and Coins</w:t>
      </w:r>
    </w:p>
    <w:p w:rsidR="00421545" w:rsidRPr="00470480" w:rsidRDefault="00421545" w:rsidP="00BE4BD6">
      <w:pPr>
        <w:spacing w:after="0"/>
        <w:jc w:val="both"/>
        <w:rPr>
          <w:rFonts w:ascii="Arial" w:hAnsi="Arial" w:cs="Arial"/>
          <w:b/>
          <w:bCs/>
          <w:color w:val="000000"/>
          <w:sz w:val="20"/>
          <w:szCs w:val="20"/>
        </w:rPr>
      </w:pPr>
    </w:p>
    <w:p w:rsidR="00421545" w:rsidRPr="00470480" w:rsidRDefault="00421545" w:rsidP="00421545">
      <w:pPr>
        <w:pStyle w:val="NormalWeb"/>
        <w:jc w:val="both"/>
        <w:rPr>
          <w:rFonts w:ascii="Arial" w:hAnsi="Arial" w:cs="Arial"/>
          <w:color w:val="000000"/>
          <w:sz w:val="20"/>
          <w:szCs w:val="20"/>
        </w:rPr>
      </w:pPr>
      <w:r w:rsidRPr="00470480">
        <w:rPr>
          <w:rFonts w:ascii="Arial" w:hAnsi="Arial" w:cs="Arial"/>
          <w:color w:val="000000"/>
          <w:sz w:val="20"/>
          <w:szCs w:val="20"/>
        </w:rPr>
        <w:t>RBI/2022-23/01</w:t>
      </w:r>
      <w:r w:rsidRPr="00470480">
        <w:rPr>
          <w:rFonts w:ascii="Arial" w:hAnsi="Arial" w:cs="Arial"/>
          <w:color w:val="000000"/>
          <w:sz w:val="20"/>
          <w:szCs w:val="20"/>
        </w:rPr>
        <w:br/>
        <w:t>DCM (NE) No.G-5/08.07.18/2022-23</w:t>
      </w:r>
    </w:p>
    <w:p w:rsidR="00421545" w:rsidRPr="00470480" w:rsidRDefault="00421545" w:rsidP="00421545">
      <w:pPr>
        <w:pStyle w:val="NormalWeb"/>
        <w:rPr>
          <w:rFonts w:ascii="Arial" w:hAnsi="Arial" w:cs="Arial"/>
          <w:color w:val="000000"/>
          <w:sz w:val="20"/>
          <w:szCs w:val="20"/>
        </w:rPr>
      </w:pPr>
      <w:r w:rsidRPr="00470480">
        <w:rPr>
          <w:rFonts w:ascii="Arial" w:hAnsi="Arial" w:cs="Arial"/>
          <w:color w:val="000000"/>
          <w:sz w:val="20"/>
          <w:szCs w:val="20"/>
        </w:rPr>
        <w:t>April 01, 2022</w:t>
      </w:r>
    </w:p>
    <w:p w:rsidR="00421545" w:rsidRPr="00470480" w:rsidRDefault="00421545" w:rsidP="00421545">
      <w:pPr>
        <w:pStyle w:val="NormalWeb"/>
        <w:rPr>
          <w:rFonts w:ascii="Arial" w:hAnsi="Arial" w:cs="Arial"/>
          <w:color w:val="000000"/>
          <w:sz w:val="20"/>
          <w:szCs w:val="20"/>
        </w:rPr>
      </w:pPr>
      <w:r w:rsidRPr="00470480">
        <w:rPr>
          <w:rFonts w:ascii="Arial" w:hAnsi="Arial" w:cs="Arial"/>
          <w:color w:val="000000"/>
          <w:sz w:val="20"/>
          <w:szCs w:val="20"/>
        </w:rPr>
        <w:t>The Chairman/The Managing Director/</w:t>
      </w:r>
      <w:r w:rsidRPr="00470480">
        <w:rPr>
          <w:rFonts w:ascii="Arial" w:hAnsi="Arial" w:cs="Arial"/>
          <w:color w:val="000000"/>
          <w:sz w:val="20"/>
          <w:szCs w:val="20"/>
        </w:rPr>
        <w:br/>
        <w:t>The Chief Executive Officer</w:t>
      </w:r>
      <w:r w:rsidRPr="00470480">
        <w:rPr>
          <w:rFonts w:ascii="Arial" w:hAnsi="Arial" w:cs="Arial"/>
          <w:color w:val="000000"/>
          <w:sz w:val="20"/>
          <w:szCs w:val="20"/>
        </w:rPr>
        <w:br/>
        <w:t>All Banks</w:t>
      </w:r>
    </w:p>
    <w:p w:rsidR="00421545" w:rsidRPr="00470480" w:rsidRDefault="00421545" w:rsidP="00421545">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421545" w:rsidRPr="00470480" w:rsidRDefault="00421545" w:rsidP="00421545">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Facility for Exchange of Notes and Coins</w:t>
      </w:r>
    </w:p>
    <w:p w:rsidR="00421545" w:rsidRPr="00470480" w:rsidRDefault="00421545" w:rsidP="00421545">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51" w:tgtFrame="_blank" w:history="1">
        <w:r w:rsidRPr="00470480">
          <w:rPr>
            <w:rStyle w:val="Hyperlink"/>
            <w:rFonts w:ascii="Arial" w:hAnsi="Arial" w:cs="Arial"/>
            <w:sz w:val="20"/>
            <w:szCs w:val="20"/>
          </w:rPr>
          <w:t>Master Circular DCM (NE) No.G-4/08.07.18/2021-22 dated April 01, 2021</w:t>
        </w:r>
      </w:hyperlink>
      <w:r w:rsidRPr="00470480">
        <w:rPr>
          <w:rFonts w:ascii="Arial" w:hAnsi="Arial" w:cs="Arial"/>
          <w:color w:val="000000"/>
          <w:sz w:val="20"/>
          <w:szCs w:val="20"/>
        </w:rPr>
        <w:t> containing instructions on the facility for exchange of notes and coins. A revised version of </w:t>
      </w:r>
      <w:hyperlink r:id="rId252"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on the subject is annexed for your information and necessary action.</w:t>
      </w:r>
    </w:p>
    <w:p w:rsidR="00421545" w:rsidRPr="00470480" w:rsidRDefault="00421545" w:rsidP="00421545">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421545" w:rsidRPr="00470480" w:rsidRDefault="00421545" w:rsidP="00421545">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421545" w:rsidRDefault="00421545" w:rsidP="00421545">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454EA3" w:rsidRDefault="00454EA3" w:rsidP="00454EA3">
      <w:pPr>
        <w:pStyle w:val="NormalWeb"/>
        <w:jc w:val="both"/>
        <w:rPr>
          <w:rFonts w:ascii="Arial" w:hAnsi="Arial" w:cs="Arial"/>
          <w:color w:val="000000"/>
          <w:sz w:val="20"/>
          <w:szCs w:val="20"/>
        </w:rPr>
      </w:pPr>
    </w:p>
    <w:p w:rsidR="00454EA3" w:rsidRDefault="00454EA3" w:rsidP="00454EA3">
      <w:pPr>
        <w:pStyle w:val="NormalWeb"/>
        <w:jc w:val="both"/>
        <w:rPr>
          <w:rFonts w:ascii="Arial" w:hAnsi="Arial" w:cs="Arial"/>
          <w:color w:val="000000"/>
          <w:sz w:val="20"/>
          <w:szCs w:val="20"/>
        </w:rPr>
      </w:pPr>
    </w:p>
    <w:p w:rsidR="00454EA3" w:rsidRPr="00470480" w:rsidRDefault="00454EA3" w:rsidP="00536CF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421545" w:rsidRPr="00470480" w:rsidRDefault="00421545" w:rsidP="00536CF8">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253" w:history="1">
        <w:r w:rsidRPr="00470480">
          <w:rPr>
            <w:rStyle w:val="Hyperlink"/>
            <w:rFonts w:ascii="Arial" w:hAnsi="Arial" w:cs="Arial"/>
            <w:sz w:val="20"/>
            <w:szCs w:val="20"/>
          </w:rPr>
          <w:t>https://www.rbi.org.in/Scripts/NotificationUser.aspx?Id=12265&amp;Mode=0</w:t>
        </w:r>
      </w:hyperlink>
    </w:p>
    <w:p w:rsidR="00421545" w:rsidRPr="00470480" w:rsidRDefault="00421545" w:rsidP="00421545">
      <w:pPr>
        <w:pStyle w:val="NormalWeb"/>
        <w:jc w:val="both"/>
        <w:rPr>
          <w:rFonts w:ascii="Arial" w:hAnsi="Arial" w:cs="Arial"/>
          <w:color w:val="000000"/>
          <w:sz w:val="20"/>
          <w:szCs w:val="20"/>
        </w:rPr>
      </w:pPr>
      <w:r w:rsidRPr="00470480">
        <w:rPr>
          <w:rFonts w:ascii="Arial" w:hAnsi="Arial" w:cs="Arial"/>
          <w:color w:val="000000"/>
          <w:sz w:val="20"/>
          <w:szCs w:val="20"/>
        </w:rPr>
        <w:t xml:space="preserve"> </w:t>
      </w:r>
    </w:p>
    <w:p w:rsidR="00421545" w:rsidRPr="00470480" w:rsidRDefault="00421545" w:rsidP="00BE4BD6">
      <w:pPr>
        <w:spacing w:after="0"/>
        <w:jc w:val="both"/>
        <w:rPr>
          <w:rFonts w:ascii="Arial" w:hAnsi="Arial" w:cs="Arial"/>
          <w:sz w:val="20"/>
          <w:szCs w:val="20"/>
        </w:rPr>
      </w:pPr>
    </w:p>
    <w:p w:rsidR="00421545" w:rsidRPr="00470480" w:rsidRDefault="00421545" w:rsidP="00BE4BD6">
      <w:pPr>
        <w:spacing w:after="0"/>
        <w:jc w:val="both"/>
        <w:rPr>
          <w:rFonts w:ascii="Arial" w:hAnsi="Arial" w:cs="Arial"/>
          <w:sz w:val="20"/>
          <w:szCs w:val="20"/>
        </w:rPr>
      </w:pPr>
    </w:p>
    <w:p w:rsidR="008464C9" w:rsidRPr="00470480" w:rsidRDefault="008464C9" w:rsidP="00BE4BD6">
      <w:pPr>
        <w:spacing w:after="0"/>
        <w:jc w:val="both"/>
        <w:rPr>
          <w:rFonts w:ascii="Arial" w:hAnsi="Arial" w:cs="Arial"/>
          <w:sz w:val="20"/>
          <w:szCs w:val="20"/>
        </w:rPr>
      </w:pPr>
    </w:p>
    <w:p w:rsidR="008464C9" w:rsidRPr="00470480" w:rsidRDefault="008464C9" w:rsidP="00BE4BD6">
      <w:pPr>
        <w:spacing w:after="0"/>
        <w:jc w:val="both"/>
        <w:rPr>
          <w:rFonts w:ascii="Arial" w:hAnsi="Arial" w:cs="Arial"/>
          <w:sz w:val="20"/>
          <w:szCs w:val="20"/>
        </w:rPr>
      </w:pPr>
    </w:p>
    <w:p w:rsidR="008464C9" w:rsidRPr="00470480" w:rsidRDefault="008464C9" w:rsidP="00BE4BD6">
      <w:pPr>
        <w:spacing w:after="0"/>
        <w:jc w:val="both"/>
        <w:rPr>
          <w:rFonts w:ascii="Arial" w:hAnsi="Arial" w:cs="Arial"/>
          <w:sz w:val="20"/>
          <w:szCs w:val="20"/>
        </w:rPr>
      </w:pPr>
    </w:p>
    <w:p w:rsidR="008464C9" w:rsidRPr="00470480" w:rsidRDefault="008464C9" w:rsidP="00BE4BD6">
      <w:pPr>
        <w:spacing w:after="0"/>
        <w:jc w:val="both"/>
        <w:rPr>
          <w:rFonts w:ascii="Arial" w:hAnsi="Arial" w:cs="Arial"/>
          <w:sz w:val="20"/>
          <w:szCs w:val="20"/>
        </w:rPr>
      </w:pPr>
    </w:p>
    <w:p w:rsidR="008464C9" w:rsidRPr="00470480" w:rsidRDefault="008464C9" w:rsidP="00BE4BD6">
      <w:pPr>
        <w:spacing w:after="0"/>
        <w:jc w:val="both"/>
        <w:rPr>
          <w:rFonts w:ascii="Arial" w:hAnsi="Arial" w:cs="Arial"/>
          <w:sz w:val="20"/>
          <w:szCs w:val="20"/>
        </w:rPr>
      </w:pPr>
    </w:p>
    <w:p w:rsidR="008464C9" w:rsidRPr="00470480" w:rsidRDefault="008464C9" w:rsidP="00BE4BD6">
      <w:pPr>
        <w:spacing w:after="0"/>
        <w:jc w:val="both"/>
        <w:rPr>
          <w:rFonts w:ascii="Arial" w:hAnsi="Arial" w:cs="Arial"/>
          <w:sz w:val="20"/>
          <w:szCs w:val="20"/>
        </w:rPr>
      </w:pPr>
    </w:p>
    <w:p w:rsidR="008464C9" w:rsidRPr="00470480" w:rsidRDefault="008464C9" w:rsidP="00BE4BD6">
      <w:pPr>
        <w:spacing w:after="0"/>
        <w:jc w:val="both"/>
        <w:rPr>
          <w:rFonts w:ascii="Arial" w:hAnsi="Arial" w:cs="Arial"/>
          <w:sz w:val="20"/>
          <w:szCs w:val="20"/>
        </w:rPr>
      </w:pPr>
    </w:p>
    <w:p w:rsidR="008464C9" w:rsidRPr="00470480" w:rsidRDefault="008464C9" w:rsidP="00BE4BD6">
      <w:pPr>
        <w:spacing w:after="0"/>
        <w:jc w:val="both"/>
        <w:rPr>
          <w:rFonts w:ascii="Arial" w:hAnsi="Arial" w:cs="Arial"/>
          <w:sz w:val="20"/>
          <w:szCs w:val="20"/>
        </w:rPr>
      </w:pPr>
    </w:p>
    <w:p w:rsidR="008464C9" w:rsidRPr="00470480" w:rsidRDefault="008464C9" w:rsidP="00BE4BD6">
      <w:pPr>
        <w:spacing w:after="0"/>
        <w:jc w:val="both"/>
        <w:rPr>
          <w:rFonts w:ascii="Arial" w:hAnsi="Arial" w:cs="Arial"/>
          <w:sz w:val="20"/>
          <w:szCs w:val="20"/>
        </w:rPr>
      </w:pPr>
    </w:p>
    <w:p w:rsidR="008464C9" w:rsidRPr="00470480" w:rsidRDefault="008464C9" w:rsidP="00BE4BD6">
      <w:pPr>
        <w:spacing w:after="0"/>
        <w:jc w:val="both"/>
        <w:rPr>
          <w:rFonts w:ascii="Arial" w:hAnsi="Arial" w:cs="Arial"/>
          <w:sz w:val="20"/>
          <w:szCs w:val="20"/>
        </w:rPr>
      </w:pPr>
    </w:p>
    <w:p w:rsidR="008464C9" w:rsidRPr="00470480" w:rsidRDefault="008464C9" w:rsidP="00BE4BD6">
      <w:pPr>
        <w:spacing w:after="0"/>
        <w:jc w:val="both"/>
        <w:rPr>
          <w:rFonts w:ascii="Arial" w:hAnsi="Arial" w:cs="Arial"/>
          <w:sz w:val="20"/>
          <w:szCs w:val="20"/>
        </w:rPr>
      </w:pPr>
    </w:p>
    <w:p w:rsidR="008464C9" w:rsidRPr="00470480" w:rsidRDefault="008464C9" w:rsidP="00BE4BD6">
      <w:pPr>
        <w:spacing w:after="0"/>
        <w:jc w:val="both"/>
        <w:rPr>
          <w:rFonts w:ascii="Arial" w:hAnsi="Arial" w:cs="Arial"/>
          <w:sz w:val="20"/>
          <w:szCs w:val="20"/>
        </w:rPr>
      </w:pPr>
    </w:p>
    <w:p w:rsidR="008464C9" w:rsidRPr="00470480" w:rsidRDefault="008464C9" w:rsidP="00BE4BD6">
      <w:pPr>
        <w:spacing w:after="0"/>
        <w:jc w:val="both"/>
        <w:rPr>
          <w:rFonts w:ascii="Arial" w:hAnsi="Arial" w:cs="Arial"/>
          <w:sz w:val="20"/>
          <w:szCs w:val="20"/>
        </w:rPr>
      </w:pPr>
    </w:p>
    <w:p w:rsidR="008464C9" w:rsidRPr="00470480" w:rsidRDefault="008464C9" w:rsidP="00BE4BD6">
      <w:pPr>
        <w:spacing w:after="0"/>
        <w:jc w:val="both"/>
        <w:rPr>
          <w:rFonts w:ascii="Arial" w:hAnsi="Arial" w:cs="Arial"/>
          <w:sz w:val="20"/>
          <w:szCs w:val="20"/>
        </w:rPr>
      </w:pPr>
    </w:p>
    <w:p w:rsidR="008464C9" w:rsidRPr="00470480" w:rsidRDefault="008464C9" w:rsidP="00BE4BD6">
      <w:pPr>
        <w:spacing w:after="0"/>
        <w:jc w:val="both"/>
        <w:rPr>
          <w:rFonts w:ascii="Arial" w:hAnsi="Arial" w:cs="Arial"/>
          <w:sz w:val="20"/>
          <w:szCs w:val="20"/>
        </w:rPr>
      </w:pPr>
    </w:p>
    <w:p w:rsidR="00536CF8" w:rsidRDefault="00536CF8" w:rsidP="00BE4BD6">
      <w:pPr>
        <w:spacing w:after="0"/>
        <w:jc w:val="both"/>
        <w:rPr>
          <w:rFonts w:ascii="Arial" w:hAnsi="Arial" w:cs="Arial"/>
          <w:b/>
          <w:bCs/>
          <w:color w:val="000000"/>
          <w:sz w:val="20"/>
          <w:szCs w:val="20"/>
        </w:rPr>
      </w:pPr>
    </w:p>
    <w:p w:rsidR="00536CF8" w:rsidRDefault="00536CF8" w:rsidP="00BE4BD6">
      <w:pPr>
        <w:spacing w:after="0"/>
        <w:jc w:val="both"/>
        <w:rPr>
          <w:rFonts w:ascii="Arial" w:hAnsi="Arial" w:cs="Arial"/>
          <w:b/>
          <w:bCs/>
          <w:color w:val="000000"/>
          <w:sz w:val="20"/>
          <w:szCs w:val="20"/>
        </w:rPr>
      </w:pPr>
    </w:p>
    <w:p w:rsidR="00536CF8" w:rsidRDefault="00536CF8" w:rsidP="00BE4BD6">
      <w:pPr>
        <w:spacing w:after="0"/>
        <w:jc w:val="both"/>
        <w:rPr>
          <w:rFonts w:ascii="Arial" w:hAnsi="Arial" w:cs="Arial"/>
          <w:b/>
          <w:bCs/>
          <w:color w:val="000000"/>
          <w:sz w:val="20"/>
          <w:szCs w:val="20"/>
        </w:rPr>
      </w:pPr>
    </w:p>
    <w:p w:rsidR="008464C9" w:rsidRPr="00470480" w:rsidRDefault="008464C9"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8464C9" w:rsidRPr="00470480" w:rsidRDefault="008464C9" w:rsidP="00BE4BD6">
      <w:pPr>
        <w:spacing w:after="0"/>
        <w:jc w:val="both"/>
        <w:rPr>
          <w:rFonts w:ascii="Arial" w:hAnsi="Arial" w:cs="Arial"/>
          <w:b/>
          <w:bCs/>
          <w:color w:val="000000"/>
          <w:sz w:val="20"/>
          <w:szCs w:val="20"/>
        </w:rPr>
      </w:pPr>
    </w:p>
    <w:p w:rsidR="008464C9" w:rsidRPr="00470480" w:rsidRDefault="008464C9" w:rsidP="008464C9">
      <w:pPr>
        <w:pStyle w:val="NormalWeb"/>
        <w:jc w:val="both"/>
        <w:rPr>
          <w:rFonts w:ascii="Arial" w:hAnsi="Arial" w:cs="Arial"/>
          <w:color w:val="000000"/>
          <w:sz w:val="20"/>
          <w:szCs w:val="20"/>
        </w:rPr>
      </w:pPr>
      <w:r w:rsidRPr="00470480">
        <w:rPr>
          <w:rFonts w:ascii="Arial" w:hAnsi="Arial" w:cs="Arial"/>
          <w:color w:val="000000"/>
          <w:sz w:val="20"/>
          <w:szCs w:val="20"/>
        </w:rPr>
        <w:t>RBI/2021-22/191</w:t>
      </w:r>
      <w:r w:rsidRPr="00470480">
        <w:rPr>
          <w:rFonts w:ascii="Arial" w:hAnsi="Arial" w:cs="Arial"/>
          <w:color w:val="000000"/>
          <w:sz w:val="20"/>
          <w:szCs w:val="20"/>
        </w:rPr>
        <w:br/>
        <w:t>DOR.MRG.REC.98/21.04.141/2021-22</w:t>
      </w:r>
    </w:p>
    <w:p w:rsidR="008464C9" w:rsidRPr="00470480" w:rsidRDefault="008464C9" w:rsidP="008464C9">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8464C9" w:rsidRPr="00470480" w:rsidRDefault="008464C9" w:rsidP="008464C9">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8464C9" w:rsidRPr="00470480" w:rsidRDefault="008464C9" w:rsidP="008464C9">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8464C9" w:rsidRPr="00470480" w:rsidRDefault="008464C9" w:rsidP="008464C9">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54"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8464C9" w:rsidRPr="00470480" w:rsidRDefault="008464C9" w:rsidP="008464C9">
      <w:pPr>
        <w:pStyle w:val="NormalWeb"/>
        <w:jc w:val="both"/>
        <w:rPr>
          <w:rFonts w:ascii="Arial" w:hAnsi="Arial" w:cs="Arial"/>
          <w:color w:val="000000"/>
          <w:sz w:val="20"/>
          <w:szCs w:val="20"/>
        </w:rPr>
      </w:pPr>
      <w:r w:rsidRPr="00470480">
        <w:rPr>
          <w:rFonts w:ascii="Arial" w:hAnsi="Arial" w:cs="Arial"/>
          <w:color w:val="000000"/>
          <w:sz w:val="20"/>
          <w:szCs w:val="20"/>
        </w:rPr>
        <w:t>2. In terms of Section 9 of the Master Direction ibid, investments classified under HTM shall be carried at acquisition cost, with the premium over the face value being amortised over the tenor of the instrument. It is expected that the acquisition of such instruments shall be at the fair value of the security at the time of its acquisition. This instruction also applies to re-capitalisation bonds received from the Government of India towards banks’ recapitalisation requirement and held in the investment portfolio (cf. Section 6 of the Master Direction ibid).</w:t>
      </w:r>
    </w:p>
    <w:p w:rsidR="008464C9" w:rsidRPr="00470480" w:rsidRDefault="008464C9" w:rsidP="008464C9">
      <w:pPr>
        <w:pStyle w:val="NormalWeb"/>
        <w:jc w:val="both"/>
        <w:rPr>
          <w:rFonts w:ascii="Arial" w:hAnsi="Arial" w:cs="Arial"/>
          <w:color w:val="000000"/>
          <w:sz w:val="20"/>
          <w:szCs w:val="20"/>
        </w:rPr>
      </w:pPr>
      <w:r w:rsidRPr="00470480">
        <w:rPr>
          <w:rFonts w:ascii="Arial" w:hAnsi="Arial" w:cs="Arial"/>
          <w:color w:val="000000"/>
          <w:sz w:val="20"/>
          <w:szCs w:val="20"/>
        </w:rPr>
        <w:t xml:space="preserve">3. It is clarified that investments in special securities received from the Government of India towards bank’s recapitalisation requirement from FY 2021-22 onwards shall be recognised at fair value / market value on initial recognition in HTM. The fair value / market value of these securities shall be arrived on the basis of the prices / YTM of similar tenor Central Government securities put out by Financial Benchmarks India </w:t>
      </w:r>
      <w:proofErr w:type="spellStart"/>
      <w:r w:rsidRPr="00470480">
        <w:rPr>
          <w:rFonts w:ascii="Arial" w:hAnsi="Arial" w:cs="Arial"/>
          <w:color w:val="000000"/>
          <w:sz w:val="20"/>
          <w:szCs w:val="20"/>
        </w:rPr>
        <w:t>Pvt.</w:t>
      </w:r>
      <w:proofErr w:type="spellEnd"/>
      <w:r w:rsidRPr="00470480">
        <w:rPr>
          <w:rFonts w:ascii="Arial" w:hAnsi="Arial" w:cs="Arial"/>
          <w:color w:val="000000"/>
          <w:sz w:val="20"/>
          <w:szCs w:val="20"/>
        </w:rPr>
        <w:t xml:space="preserve"> Ltd. (FBIL). Any difference between the acquisition cost and fair value arrived as above shall be immediately recognized in the Profit and Loss Account.</w:t>
      </w:r>
    </w:p>
    <w:p w:rsidR="008464C9" w:rsidRPr="00470480" w:rsidRDefault="008464C9" w:rsidP="008464C9">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8464C9" w:rsidRPr="00470480" w:rsidRDefault="008464C9" w:rsidP="008464C9">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Commercial Banks (excluding Regional Rural Banks).</w:t>
      </w:r>
    </w:p>
    <w:p w:rsidR="008464C9" w:rsidRPr="00470480" w:rsidRDefault="008464C9" w:rsidP="008464C9">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are being amended to reflect the aforementioned changes. These instructions come into force with immediate effect.</w:t>
      </w:r>
    </w:p>
    <w:p w:rsidR="008464C9" w:rsidRPr="00470480" w:rsidRDefault="008464C9" w:rsidP="008464C9">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464C9" w:rsidRPr="00470480" w:rsidRDefault="008464C9" w:rsidP="008464C9">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536CF8" w:rsidRDefault="00536CF8" w:rsidP="00BE4BD6">
      <w:pPr>
        <w:spacing w:after="0"/>
        <w:jc w:val="both"/>
        <w:rPr>
          <w:rFonts w:ascii="Arial" w:hAnsi="Arial" w:cs="Arial"/>
          <w:sz w:val="20"/>
          <w:szCs w:val="20"/>
        </w:rPr>
      </w:pPr>
    </w:p>
    <w:p w:rsidR="008464C9" w:rsidRPr="00470480" w:rsidRDefault="00131C73"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255" w:history="1">
        <w:r w:rsidRPr="00470480">
          <w:rPr>
            <w:rStyle w:val="Hyperlink"/>
            <w:rFonts w:ascii="Arial" w:hAnsi="Arial" w:cs="Arial"/>
            <w:sz w:val="20"/>
            <w:szCs w:val="20"/>
          </w:rPr>
          <w:t>https://www.rbi.org.in/Scripts/NotificationUser.aspx?Id=12264&amp;Mode=0</w:t>
        </w:r>
      </w:hyperlink>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b/>
          <w:bCs/>
          <w:color w:val="000000"/>
          <w:sz w:val="20"/>
          <w:szCs w:val="20"/>
        </w:rPr>
      </w:pPr>
    </w:p>
    <w:p w:rsidR="00131C73" w:rsidRPr="00470480" w:rsidRDefault="00131C73"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Cassette - Swaps in ATMs</w:t>
      </w:r>
    </w:p>
    <w:p w:rsidR="00131C73" w:rsidRPr="00470480" w:rsidRDefault="00131C73" w:rsidP="00BE4BD6">
      <w:pPr>
        <w:spacing w:after="0"/>
        <w:jc w:val="both"/>
        <w:rPr>
          <w:rFonts w:ascii="Arial" w:hAnsi="Arial" w:cs="Arial"/>
          <w:b/>
          <w:bCs/>
          <w:color w:val="000000"/>
          <w:sz w:val="20"/>
          <w:szCs w:val="20"/>
        </w:rPr>
      </w:pPr>
    </w:p>
    <w:p w:rsidR="00131C73" w:rsidRPr="00470480" w:rsidRDefault="00131C73" w:rsidP="00131C73">
      <w:pPr>
        <w:pStyle w:val="NormalWeb"/>
        <w:jc w:val="both"/>
        <w:rPr>
          <w:rFonts w:ascii="Arial" w:hAnsi="Arial" w:cs="Arial"/>
          <w:color w:val="000000"/>
          <w:sz w:val="20"/>
          <w:szCs w:val="20"/>
        </w:rPr>
      </w:pPr>
      <w:r w:rsidRPr="00470480">
        <w:rPr>
          <w:rFonts w:ascii="Arial" w:hAnsi="Arial" w:cs="Arial"/>
          <w:color w:val="000000"/>
          <w:sz w:val="20"/>
          <w:szCs w:val="20"/>
        </w:rPr>
        <w:t>RBI/2021-22/190</w:t>
      </w:r>
      <w:r w:rsidRPr="00470480">
        <w:rPr>
          <w:rFonts w:ascii="Arial" w:hAnsi="Arial" w:cs="Arial"/>
          <w:color w:val="000000"/>
          <w:sz w:val="20"/>
          <w:szCs w:val="20"/>
        </w:rPr>
        <w:br/>
        <w:t>DCM (</w:t>
      </w:r>
      <w:proofErr w:type="spellStart"/>
      <w:r w:rsidRPr="00470480">
        <w:rPr>
          <w:rFonts w:ascii="Arial" w:hAnsi="Arial" w:cs="Arial"/>
          <w:color w:val="000000"/>
          <w:sz w:val="20"/>
          <w:szCs w:val="20"/>
        </w:rPr>
        <w:t>Plg</w:t>
      </w:r>
      <w:proofErr w:type="spellEnd"/>
      <w:r w:rsidRPr="00470480">
        <w:rPr>
          <w:rFonts w:ascii="Arial" w:hAnsi="Arial" w:cs="Arial"/>
          <w:color w:val="000000"/>
          <w:sz w:val="20"/>
          <w:szCs w:val="20"/>
        </w:rPr>
        <w:t xml:space="preserve">.) </w:t>
      </w:r>
      <w:proofErr w:type="spellStart"/>
      <w:proofErr w:type="gramStart"/>
      <w:r w:rsidRPr="00470480">
        <w:rPr>
          <w:rFonts w:ascii="Arial" w:hAnsi="Arial" w:cs="Arial"/>
          <w:color w:val="000000"/>
          <w:sz w:val="20"/>
          <w:szCs w:val="20"/>
        </w:rPr>
        <w:t>No.S</w:t>
      </w:r>
      <w:proofErr w:type="spellEnd"/>
      <w:proofErr w:type="gramEnd"/>
      <w:r w:rsidRPr="00470480">
        <w:rPr>
          <w:rFonts w:ascii="Arial" w:hAnsi="Arial" w:cs="Arial"/>
          <w:color w:val="000000"/>
          <w:sz w:val="20"/>
          <w:szCs w:val="20"/>
        </w:rPr>
        <w:t xml:space="preserve"> 1117/10.25.007/2021-22</w:t>
      </w:r>
    </w:p>
    <w:p w:rsidR="00131C73" w:rsidRPr="00470480" w:rsidRDefault="00131C73" w:rsidP="00131C73">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131C73" w:rsidRPr="00470480" w:rsidRDefault="00131C73" w:rsidP="00131C73">
      <w:pPr>
        <w:pStyle w:val="NormalWeb"/>
        <w:rPr>
          <w:rFonts w:ascii="Arial" w:hAnsi="Arial" w:cs="Arial"/>
          <w:color w:val="000000"/>
          <w:sz w:val="20"/>
          <w:szCs w:val="20"/>
        </w:rPr>
      </w:pPr>
      <w:r w:rsidRPr="00470480">
        <w:rPr>
          <w:rFonts w:ascii="Arial" w:hAnsi="Arial" w:cs="Arial"/>
          <w:color w:val="000000"/>
          <w:sz w:val="20"/>
          <w:szCs w:val="20"/>
        </w:rPr>
        <w:t>The Chairman / Managing Director/</w:t>
      </w:r>
      <w:r w:rsidRPr="00470480">
        <w:rPr>
          <w:rFonts w:ascii="Arial" w:hAnsi="Arial" w:cs="Arial"/>
          <w:color w:val="000000"/>
          <w:sz w:val="20"/>
          <w:szCs w:val="20"/>
        </w:rPr>
        <w:br/>
        <w:t>Chief Executive Officer</w:t>
      </w:r>
      <w:r w:rsidRPr="00470480">
        <w:rPr>
          <w:rFonts w:ascii="Arial" w:hAnsi="Arial" w:cs="Arial"/>
          <w:color w:val="000000"/>
          <w:sz w:val="20"/>
          <w:szCs w:val="20"/>
        </w:rPr>
        <w:br/>
        <w:t>All Banks</w:t>
      </w:r>
    </w:p>
    <w:p w:rsidR="00131C73" w:rsidRPr="00470480" w:rsidRDefault="00131C73" w:rsidP="00131C73">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131C73" w:rsidRPr="00470480" w:rsidRDefault="00131C73" w:rsidP="00131C73">
      <w:pPr>
        <w:pStyle w:val="head"/>
        <w:jc w:val="both"/>
        <w:rPr>
          <w:rFonts w:ascii="Arial" w:hAnsi="Arial" w:cs="Arial"/>
          <w:b/>
          <w:bCs/>
          <w:color w:val="000000"/>
          <w:sz w:val="20"/>
          <w:szCs w:val="20"/>
        </w:rPr>
      </w:pPr>
      <w:r w:rsidRPr="00470480">
        <w:rPr>
          <w:rFonts w:ascii="Arial" w:hAnsi="Arial" w:cs="Arial"/>
          <w:b/>
          <w:bCs/>
          <w:color w:val="000000"/>
          <w:sz w:val="20"/>
          <w:szCs w:val="20"/>
        </w:rPr>
        <w:t>Cassette - Swaps in ATMs</w:t>
      </w:r>
    </w:p>
    <w:p w:rsidR="00131C73" w:rsidRPr="00470480" w:rsidRDefault="00131C73" w:rsidP="00131C73">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56" w:tgtFrame="_blank" w:history="1">
        <w:r w:rsidRPr="00470480">
          <w:rPr>
            <w:rStyle w:val="Hyperlink"/>
            <w:rFonts w:ascii="Arial" w:hAnsi="Arial" w:cs="Arial"/>
            <w:sz w:val="20"/>
            <w:szCs w:val="20"/>
          </w:rPr>
          <w:t>circulars RBI/2017-18/162/ DCM (</w:t>
        </w:r>
        <w:proofErr w:type="spellStart"/>
        <w:r w:rsidRPr="00470480">
          <w:rPr>
            <w:rStyle w:val="Hyperlink"/>
            <w:rFonts w:ascii="Arial" w:hAnsi="Arial" w:cs="Arial"/>
            <w:sz w:val="20"/>
            <w:szCs w:val="20"/>
          </w:rPr>
          <w:t>Plg</w:t>
        </w:r>
        <w:proofErr w:type="spellEnd"/>
        <w:r w:rsidRPr="00470480">
          <w:rPr>
            <w:rStyle w:val="Hyperlink"/>
            <w:rFonts w:ascii="Arial" w:hAnsi="Arial" w:cs="Arial"/>
            <w:sz w:val="20"/>
            <w:szCs w:val="20"/>
          </w:rPr>
          <w:t>.) No. 3641/10.25.007/2017-18 dated April 12, 2018</w:t>
        </w:r>
      </w:hyperlink>
      <w:r w:rsidRPr="00470480">
        <w:rPr>
          <w:rFonts w:ascii="Arial" w:hAnsi="Arial" w:cs="Arial"/>
          <w:color w:val="000000"/>
          <w:sz w:val="20"/>
          <w:szCs w:val="20"/>
        </w:rPr>
        <w:t> and </w:t>
      </w:r>
      <w:hyperlink r:id="rId257" w:tgtFrame="_blank" w:history="1">
        <w:r w:rsidRPr="00470480">
          <w:rPr>
            <w:rStyle w:val="Hyperlink"/>
            <w:rFonts w:ascii="Arial" w:hAnsi="Arial" w:cs="Arial"/>
            <w:sz w:val="20"/>
            <w:szCs w:val="20"/>
          </w:rPr>
          <w:t>RBI/2021-22/71/ DCM (</w:t>
        </w:r>
        <w:proofErr w:type="spellStart"/>
        <w:r w:rsidRPr="00470480">
          <w:rPr>
            <w:rStyle w:val="Hyperlink"/>
            <w:rFonts w:ascii="Arial" w:hAnsi="Arial" w:cs="Arial"/>
            <w:sz w:val="20"/>
            <w:szCs w:val="20"/>
          </w:rPr>
          <w:t>Plg</w:t>
        </w:r>
        <w:proofErr w:type="spellEnd"/>
        <w:r w:rsidRPr="00470480">
          <w:rPr>
            <w:rStyle w:val="Hyperlink"/>
            <w:rFonts w:ascii="Arial" w:hAnsi="Arial" w:cs="Arial"/>
            <w:sz w:val="20"/>
            <w:szCs w:val="20"/>
          </w:rPr>
          <w:t>.) No.S39/10.25.007/2021-22 dated July 12, 2021</w:t>
        </w:r>
      </w:hyperlink>
      <w:r w:rsidRPr="00470480">
        <w:rPr>
          <w:rFonts w:ascii="Arial" w:hAnsi="Arial" w:cs="Arial"/>
          <w:color w:val="000000"/>
          <w:sz w:val="20"/>
          <w:szCs w:val="20"/>
        </w:rPr>
        <w:t> on the captioned subject wherein banks were advised to consider using lockable cassettes in their ATMs which shall be swapped at the time of cash replenishment. The same was advised to be implemented in a phased manner covering at least one third ATMs operated by the banks every year, such that all ATMs achieve cassette swap by March 31, 2021, which was later extended to March 31, 2022.</w:t>
      </w:r>
    </w:p>
    <w:p w:rsidR="00131C73" w:rsidRPr="00470480" w:rsidRDefault="00131C73" w:rsidP="00131C73">
      <w:pPr>
        <w:pStyle w:val="NormalWeb"/>
        <w:jc w:val="both"/>
        <w:rPr>
          <w:rFonts w:ascii="Arial" w:hAnsi="Arial" w:cs="Arial"/>
          <w:color w:val="000000"/>
          <w:sz w:val="20"/>
          <w:szCs w:val="20"/>
        </w:rPr>
      </w:pPr>
      <w:r w:rsidRPr="00470480">
        <w:rPr>
          <w:rFonts w:ascii="Arial" w:hAnsi="Arial" w:cs="Arial"/>
          <w:color w:val="000000"/>
          <w:sz w:val="20"/>
          <w:szCs w:val="20"/>
        </w:rPr>
        <w:t>2. In this regard, representations have been received from various banks and Indian Banks’ Association expressing difficulties in meeting the timeline. Accordingly, it has been decided to extend the timeline for implementation of cassette swap in all ATMs till March 31, 2023.</w:t>
      </w:r>
    </w:p>
    <w:p w:rsidR="00131C73" w:rsidRPr="00470480" w:rsidRDefault="00131C73" w:rsidP="00131C73">
      <w:pPr>
        <w:pStyle w:val="NormalWeb"/>
        <w:jc w:val="both"/>
        <w:rPr>
          <w:rFonts w:ascii="Arial" w:hAnsi="Arial" w:cs="Arial"/>
          <w:color w:val="000000"/>
          <w:sz w:val="20"/>
          <w:szCs w:val="20"/>
        </w:rPr>
      </w:pPr>
      <w:r w:rsidRPr="00470480">
        <w:rPr>
          <w:rFonts w:ascii="Arial" w:hAnsi="Arial" w:cs="Arial"/>
          <w:color w:val="000000"/>
          <w:sz w:val="20"/>
          <w:szCs w:val="20"/>
        </w:rPr>
        <w:t>3. Banks shall set a Board approved internal timeline to adhere to the extended deadline and submit quarterly status reports. Boards of the banks shall monitor the progress to ensure compliance.</w:t>
      </w:r>
    </w:p>
    <w:p w:rsidR="00131C73" w:rsidRPr="00470480" w:rsidRDefault="00131C73" w:rsidP="00131C73">
      <w:pPr>
        <w:pStyle w:val="NormalWeb"/>
        <w:jc w:val="both"/>
        <w:rPr>
          <w:rFonts w:ascii="Arial" w:hAnsi="Arial" w:cs="Arial"/>
          <w:color w:val="000000"/>
          <w:sz w:val="20"/>
          <w:szCs w:val="20"/>
        </w:rPr>
      </w:pPr>
      <w:r w:rsidRPr="00470480">
        <w:rPr>
          <w:rFonts w:ascii="Arial" w:hAnsi="Arial" w:cs="Arial"/>
          <w:color w:val="000000"/>
          <w:sz w:val="20"/>
          <w:szCs w:val="20"/>
        </w:rPr>
        <w:t>4. All other instructions contained in the circulars </w:t>
      </w:r>
      <w:r w:rsidRPr="00470480">
        <w:rPr>
          <w:rStyle w:val="Emphasis"/>
          <w:rFonts w:ascii="Arial" w:hAnsi="Arial" w:cs="Arial"/>
          <w:color w:val="000000"/>
          <w:sz w:val="20"/>
          <w:szCs w:val="20"/>
        </w:rPr>
        <w:t>ibid</w:t>
      </w:r>
      <w:r w:rsidRPr="00470480">
        <w:rPr>
          <w:rFonts w:ascii="Arial" w:hAnsi="Arial" w:cs="Arial"/>
          <w:color w:val="000000"/>
          <w:sz w:val="20"/>
          <w:szCs w:val="20"/>
        </w:rPr>
        <w:t> remain unchanged.</w:t>
      </w:r>
    </w:p>
    <w:p w:rsidR="00131C73" w:rsidRPr="00470480" w:rsidRDefault="00131C73" w:rsidP="00131C73">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131C73" w:rsidRPr="00470480" w:rsidRDefault="00131C73" w:rsidP="00131C73">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Suman</w:t>
      </w:r>
      <w:proofErr w:type="spellEnd"/>
      <w:r w:rsidRPr="00470480">
        <w:rPr>
          <w:rFonts w:ascii="Arial" w:hAnsi="Arial" w:cs="Arial"/>
          <w:color w:val="000000"/>
          <w:sz w:val="20"/>
          <w:szCs w:val="20"/>
        </w:rPr>
        <w:t xml:space="preserve"> Ray)</w:t>
      </w:r>
      <w:r w:rsidRPr="00470480">
        <w:rPr>
          <w:rFonts w:ascii="Arial" w:hAnsi="Arial" w:cs="Arial"/>
          <w:color w:val="000000"/>
          <w:sz w:val="20"/>
          <w:szCs w:val="20"/>
        </w:rPr>
        <w:br/>
        <w:t>Chief General Manager-in-Charge</w:t>
      </w:r>
    </w:p>
    <w:p w:rsidR="00536CF8" w:rsidRDefault="00536CF8"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258" w:history="1">
        <w:r w:rsidRPr="00470480">
          <w:rPr>
            <w:rStyle w:val="Hyperlink"/>
            <w:rFonts w:ascii="Arial" w:hAnsi="Arial" w:cs="Arial"/>
            <w:sz w:val="20"/>
            <w:szCs w:val="20"/>
          </w:rPr>
          <w:t>https://www.rbi.org.in/Scripts/NotificationUser.aspx?Id=12263&amp;Mode=0</w:t>
        </w:r>
      </w:hyperlink>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b/>
          <w:bCs/>
          <w:color w:val="000000"/>
          <w:sz w:val="20"/>
          <w:szCs w:val="20"/>
        </w:rPr>
      </w:pPr>
    </w:p>
    <w:p w:rsidR="00131C73" w:rsidRPr="00470480" w:rsidRDefault="00131C73" w:rsidP="00BE4BD6">
      <w:pPr>
        <w:spacing w:after="0"/>
        <w:jc w:val="both"/>
        <w:rPr>
          <w:rFonts w:ascii="Arial" w:hAnsi="Arial" w:cs="Arial"/>
          <w:b/>
          <w:bCs/>
          <w:color w:val="000000"/>
          <w:sz w:val="20"/>
          <w:szCs w:val="20"/>
        </w:rPr>
      </w:pPr>
    </w:p>
    <w:p w:rsidR="00454EA3" w:rsidRDefault="00454EA3" w:rsidP="00BE4BD6">
      <w:pPr>
        <w:spacing w:after="0"/>
        <w:jc w:val="both"/>
        <w:rPr>
          <w:rFonts w:ascii="Arial" w:hAnsi="Arial" w:cs="Arial"/>
          <w:b/>
          <w:bCs/>
          <w:color w:val="000000"/>
          <w:sz w:val="20"/>
          <w:szCs w:val="20"/>
        </w:rPr>
      </w:pPr>
    </w:p>
    <w:p w:rsidR="00131C73" w:rsidRPr="00470480" w:rsidRDefault="00131C73"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Bilateral Netting of Qualified Financial Contracts - Amendments to Prudential Guidelines</w:t>
      </w:r>
    </w:p>
    <w:p w:rsidR="00131C73" w:rsidRPr="00470480" w:rsidRDefault="00131C73" w:rsidP="00BE4BD6">
      <w:pPr>
        <w:spacing w:after="0"/>
        <w:jc w:val="both"/>
        <w:rPr>
          <w:rFonts w:ascii="Arial" w:hAnsi="Arial" w:cs="Arial"/>
          <w:b/>
          <w:bCs/>
          <w:color w:val="000000"/>
          <w:sz w:val="20"/>
          <w:szCs w:val="20"/>
        </w:rPr>
      </w:pPr>
    </w:p>
    <w:p w:rsidR="00131C73" w:rsidRPr="00470480" w:rsidRDefault="00131C73" w:rsidP="00131C73">
      <w:pPr>
        <w:pStyle w:val="NormalWeb"/>
        <w:jc w:val="both"/>
        <w:rPr>
          <w:rFonts w:ascii="Arial" w:hAnsi="Arial" w:cs="Arial"/>
          <w:color w:val="000000"/>
          <w:sz w:val="20"/>
          <w:szCs w:val="20"/>
        </w:rPr>
      </w:pPr>
      <w:r w:rsidRPr="00470480">
        <w:rPr>
          <w:rFonts w:ascii="Arial" w:hAnsi="Arial" w:cs="Arial"/>
          <w:color w:val="000000"/>
          <w:sz w:val="20"/>
          <w:szCs w:val="20"/>
        </w:rPr>
        <w:t>RBI/2021-22/189</w:t>
      </w:r>
      <w:r w:rsidRPr="00470480">
        <w:rPr>
          <w:rFonts w:ascii="Arial" w:hAnsi="Arial" w:cs="Arial"/>
          <w:color w:val="000000"/>
          <w:sz w:val="20"/>
          <w:szCs w:val="20"/>
        </w:rPr>
        <w:br/>
        <w:t>DOR.CAP.REC.No.97/21.06.201/2021-22</w:t>
      </w:r>
    </w:p>
    <w:p w:rsidR="00131C73" w:rsidRPr="00470480" w:rsidRDefault="00131C73" w:rsidP="00131C73">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131C73" w:rsidRPr="00470480" w:rsidRDefault="00131C73" w:rsidP="00131C73">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131C73" w:rsidRPr="00470480" w:rsidRDefault="00131C73" w:rsidP="00131C73">
      <w:pPr>
        <w:pStyle w:val="head"/>
        <w:jc w:val="both"/>
        <w:rPr>
          <w:rFonts w:ascii="Arial" w:hAnsi="Arial" w:cs="Arial"/>
          <w:b/>
          <w:bCs/>
          <w:color w:val="000000"/>
          <w:sz w:val="20"/>
          <w:szCs w:val="20"/>
        </w:rPr>
      </w:pPr>
      <w:r w:rsidRPr="00470480">
        <w:rPr>
          <w:rFonts w:ascii="Arial" w:hAnsi="Arial" w:cs="Arial"/>
          <w:b/>
          <w:bCs/>
          <w:color w:val="000000"/>
          <w:sz w:val="20"/>
          <w:szCs w:val="20"/>
        </w:rPr>
        <w:t>Bilateral Netting of Qualified Financial Contracts - Amendments to Prudential Guidelines</w:t>
      </w:r>
    </w:p>
    <w:p w:rsidR="00131C73" w:rsidRPr="00470480" w:rsidRDefault="00131C73" w:rsidP="00131C73">
      <w:pPr>
        <w:pStyle w:val="NormalWeb"/>
        <w:jc w:val="both"/>
        <w:rPr>
          <w:rFonts w:ascii="Arial" w:hAnsi="Arial" w:cs="Arial"/>
          <w:color w:val="000000"/>
          <w:sz w:val="20"/>
          <w:szCs w:val="20"/>
        </w:rPr>
      </w:pPr>
      <w:r w:rsidRPr="00470480">
        <w:rPr>
          <w:rFonts w:ascii="Arial" w:hAnsi="Arial" w:cs="Arial"/>
          <w:color w:val="000000"/>
          <w:sz w:val="20"/>
          <w:szCs w:val="20"/>
        </w:rPr>
        <w:t>The Bilateral Netting of Qualified Financial Contracts Act, 2020 (hereafter referred to as “the Act”), has been notified by the Government of India vide Gazette Notification No. S.O. 3463(E) dated October 1, 2020. The Act provides a legal framework for enforceability of bilateral netting of qualified financial contracts (QFC).</w:t>
      </w:r>
    </w:p>
    <w:p w:rsidR="00131C73" w:rsidRPr="00470480" w:rsidRDefault="00131C73" w:rsidP="00131C73">
      <w:pPr>
        <w:pStyle w:val="NormalWeb"/>
        <w:jc w:val="both"/>
        <w:rPr>
          <w:rFonts w:ascii="Arial" w:hAnsi="Arial" w:cs="Arial"/>
          <w:color w:val="000000"/>
          <w:sz w:val="20"/>
          <w:szCs w:val="20"/>
        </w:rPr>
      </w:pPr>
      <w:r w:rsidRPr="00470480">
        <w:rPr>
          <w:rFonts w:ascii="Arial" w:hAnsi="Arial" w:cs="Arial"/>
          <w:color w:val="000000"/>
          <w:sz w:val="20"/>
          <w:szCs w:val="20"/>
        </w:rPr>
        <w:t>2. In exercise of the powers conferred by section 4(a) of the Act, the Reserve Bank, vide Notification no. FMRD.DIRD.2/14.03.043/2020-21 dated March 9, 2021, has since notified (a) “derivatives”; and (b) “repo” and “reverse repo” transactions as defined under Section 45(U) of Chapter III-D of the Reserve Bank of India Act, 1934 as a QFC.</w:t>
      </w:r>
    </w:p>
    <w:p w:rsidR="00454EA3" w:rsidRDefault="00454EA3" w:rsidP="00BE4BD6">
      <w:pPr>
        <w:spacing w:after="0"/>
        <w:jc w:val="both"/>
        <w:rPr>
          <w:rFonts w:ascii="Arial" w:hAnsi="Arial" w:cs="Arial"/>
          <w:sz w:val="20"/>
          <w:szCs w:val="20"/>
        </w:rPr>
      </w:pPr>
    </w:p>
    <w:p w:rsidR="00454EA3" w:rsidRDefault="00454EA3" w:rsidP="00BE4BD6">
      <w:pPr>
        <w:spacing w:after="0"/>
        <w:jc w:val="both"/>
        <w:rPr>
          <w:rFonts w:ascii="Arial" w:hAnsi="Arial" w:cs="Arial"/>
          <w:sz w:val="20"/>
          <w:szCs w:val="20"/>
        </w:rPr>
      </w:pPr>
      <w:r>
        <w:rPr>
          <w:rFonts w:ascii="Arial" w:hAnsi="Arial" w:cs="Arial"/>
          <w:sz w:val="20"/>
          <w:szCs w:val="20"/>
        </w:rPr>
        <w:t>For more details, the reference link is provided below.</w:t>
      </w:r>
    </w:p>
    <w:p w:rsidR="00131C73" w:rsidRPr="00470480" w:rsidRDefault="00131C73"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259" w:history="1">
        <w:r w:rsidRPr="00470480">
          <w:rPr>
            <w:rStyle w:val="Hyperlink"/>
            <w:rFonts w:ascii="Arial" w:hAnsi="Arial" w:cs="Arial"/>
            <w:sz w:val="20"/>
            <w:szCs w:val="20"/>
          </w:rPr>
          <w:t>https://www.rbi.org.in/Scripts/NotificationUser.aspx?Id=12262&amp;Mode=0</w:t>
        </w:r>
      </w:hyperlink>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Framework for Geo-tagging of Payment System Touch Points</w:t>
      </w:r>
    </w:p>
    <w:p w:rsidR="00131C73" w:rsidRPr="00470480" w:rsidRDefault="00131C73" w:rsidP="00BE4BD6">
      <w:pPr>
        <w:spacing w:after="0"/>
        <w:jc w:val="both"/>
        <w:rPr>
          <w:rFonts w:ascii="Arial" w:hAnsi="Arial" w:cs="Arial"/>
          <w:b/>
          <w:bCs/>
          <w:color w:val="000000"/>
          <w:sz w:val="20"/>
          <w:szCs w:val="20"/>
        </w:rPr>
      </w:pPr>
    </w:p>
    <w:p w:rsidR="00131C73" w:rsidRPr="00470480" w:rsidRDefault="00131C73" w:rsidP="00131C73">
      <w:pPr>
        <w:pStyle w:val="NormalWeb"/>
        <w:jc w:val="both"/>
        <w:rPr>
          <w:rFonts w:ascii="Arial" w:hAnsi="Arial" w:cs="Arial"/>
          <w:color w:val="000000"/>
          <w:sz w:val="20"/>
          <w:szCs w:val="20"/>
        </w:rPr>
      </w:pPr>
      <w:r w:rsidRPr="00470480">
        <w:rPr>
          <w:rFonts w:ascii="Arial" w:hAnsi="Arial" w:cs="Arial"/>
          <w:color w:val="000000"/>
          <w:sz w:val="20"/>
          <w:szCs w:val="20"/>
        </w:rPr>
        <w:t>RBI/2021-22/187</w:t>
      </w:r>
      <w:r w:rsidRPr="00470480">
        <w:rPr>
          <w:rFonts w:ascii="Arial" w:hAnsi="Arial" w:cs="Arial"/>
          <w:color w:val="000000"/>
          <w:sz w:val="20"/>
          <w:szCs w:val="20"/>
        </w:rPr>
        <w:br/>
        <w:t>CO.DPSS.OVRST.No.S1738/06-08-018/2021-2022</w:t>
      </w:r>
    </w:p>
    <w:p w:rsidR="00131C73" w:rsidRPr="00470480" w:rsidRDefault="00131C73" w:rsidP="00131C73">
      <w:pPr>
        <w:pStyle w:val="NormalWeb"/>
        <w:jc w:val="right"/>
        <w:rPr>
          <w:rFonts w:ascii="Arial" w:hAnsi="Arial" w:cs="Arial"/>
          <w:color w:val="000000"/>
          <w:sz w:val="20"/>
          <w:szCs w:val="20"/>
        </w:rPr>
      </w:pPr>
      <w:r w:rsidRPr="00470480">
        <w:rPr>
          <w:rFonts w:ascii="Arial" w:hAnsi="Arial" w:cs="Arial"/>
          <w:color w:val="000000"/>
          <w:sz w:val="20"/>
          <w:szCs w:val="20"/>
        </w:rPr>
        <w:t>March 25, 2022</w:t>
      </w:r>
    </w:p>
    <w:p w:rsidR="00131C73" w:rsidRPr="00470480" w:rsidRDefault="00131C73" w:rsidP="00131C73">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Banks and Non-bank Payment System Operators (PSOs)</w:t>
      </w:r>
    </w:p>
    <w:p w:rsidR="00131C73" w:rsidRPr="00470480" w:rsidRDefault="00131C73" w:rsidP="00131C73">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131C73" w:rsidRPr="00470480" w:rsidRDefault="00131C73" w:rsidP="00131C73">
      <w:pPr>
        <w:pStyle w:val="head"/>
        <w:jc w:val="both"/>
        <w:rPr>
          <w:rFonts w:ascii="Arial" w:hAnsi="Arial" w:cs="Arial"/>
          <w:b/>
          <w:bCs/>
          <w:color w:val="000000"/>
          <w:sz w:val="20"/>
          <w:szCs w:val="20"/>
        </w:rPr>
      </w:pPr>
      <w:r w:rsidRPr="00470480">
        <w:rPr>
          <w:rFonts w:ascii="Arial" w:hAnsi="Arial" w:cs="Arial"/>
          <w:b/>
          <w:bCs/>
          <w:color w:val="000000"/>
          <w:sz w:val="20"/>
          <w:szCs w:val="20"/>
        </w:rPr>
        <w:t>Framework for Geo-tagging of Payment System Touch Points</w:t>
      </w:r>
    </w:p>
    <w:p w:rsidR="00131C73" w:rsidRPr="00470480" w:rsidRDefault="00131C73" w:rsidP="00131C73">
      <w:pPr>
        <w:pStyle w:val="NormalWeb"/>
        <w:jc w:val="both"/>
        <w:rPr>
          <w:rFonts w:ascii="Arial" w:hAnsi="Arial" w:cs="Arial"/>
          <w:color w:val="000000"/>
          <w:sz w:val="20"/>
          <w:szCs w:val="20"/>
        </w:rPr>
      </w:pPr>
      <w:r w:rsidRPr="00470480">
        <w:rPr>
          <w:rFonts w:ascii="Arial" w:hAnsi="Arial" w:cs="Arial"/>
          <w:color w:val="000000"/>
          <w:sz w:val="20"/>
          <w:szCs w:val="20"/>
        </w:rPr>
        <w:t>To facilitate nuanced spread of acceptance infrastructure and inclusive access to digital payments, the </w:t>
      </w:r>
      <w:hyperlink r:id="rId260" w:anchor="P4" w:tgtFrame="_blank" w:history="1">
        <w:r w:rsidRPr="00470480">
          <w:rPr>
            <w:rStyle w:val="Hyperlink"/>
            <w:rFonts w:ascii="Arial" w:hAnsi="Arial" w:cs="Arial"/>
            <w:sz w:val="20"/>
            <w:szCs w:val="20"/>
          </w:rPr>
          <w:t>Monetary Policy Statement 2020-21 on October 08, 2021</w:t>
        </w:r>
      </w:hyperlink>
      <w:r w:rsidRPr="00470480">
        <w:rPr>
          <w:rFonts w:ascii="Arial" w:hAnsi="Arial" w:cs="Arial"/>
          <w:color w:val="000000"/>
          <w:sz w:val="20"/>
          <w:szCs w:val="20"/>
        </w:rPr>
        <w:t> had announced that a framework for geo-tagging of physical payment acceptance infrastructure would be prescribed by Reserve Bank. Accordingly, a framework for capturing geo-tagging information of payment system touch points deployed by banks / non-bank PSOs is laid out in the </w:t>
      </w:r>
      <w:hyperlink r:id="rId261" w:anchor="ANN" w:history="1">
        <w:r w:rsidRPr="00470480">
          <w:rPr>
            <w:rStyle w:val="Hyperlink"/>
            <w:rFonts w:ascii="Arial" w:hAnsi="Arial" w:cs="Arial"/>
            <w:sz w:val="20"/>
            <w:szCs w:val="20"/>
          </w:rPr>
          <w:t>Annex</w:t>
        </w:r>
      </w:hyperlink>
      <w:r w:rsidRPr="00470480">
        <w:rPr>
          <w:rFonts w:ascii="Arial" w:hAnsi="Arial" w:cs="Arial"/>
          <w:color w:val="000000"/>
          <w:sz w:val="20"/>
          <w:szCs w:val="20"/>
        </w:rPr>
        <w:t>. The date from which the information shall be reported to Reserve Bank shall, however, be advised in due course.</w:t>
      </w:r>
    </w:p>
    <w:p w:rsidR="00131C73" w:rsidRPr="00470480" w:rsidRDefault="00131C73" w:rsidP="00131C73">
      <w:pPr>
        <w:pStyle w:val="NormalWeb"/>
        <w:jc w:val="both"/>
        <w:rPr>
          <w:rFonts w:ascii="Arial" w:hAnsi="Arial" w:cs="Arial"/>
          <w:color w:val="000000"/>
          <w:sz w:val="20"/>
          <w:szCs w:val="20"/>
        </w:rPr>
      </w:pPr>
      <w:r w:rsidRPr="00470480">
        <w:rPr>
          <w:rFonts w:ascii="Arial" w:hAnsi="Arial" w:cs="Arial"/>
          <w:color w:val="000000"/>
          <w:sz w:val="20"/>
          <w:szCs w:val="20"/>
        </w:rPr>
        <w:t>2. This framework is issued under Section 10 (2) read with Section 18 of Payment and Settlement Systems Act, 2007 (Act 51 of 2007).</w:t>
      </w:r>
    </w:p>
    <w:p w:rsidR="00131C73" w:rsidRPr="00470480" w:rsidRDefault="00131C73" w:rsidP="00131C73">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131C73" w:rsidRPr="00470480" w:rsidRDefault="00131C73" w:rsidP="00131C73">
      <w:pPr>
        <w:pStyle w:val="NormalWeb"/>
        <w:rPr>
          <w:rFonts w:ascii="Arial" w:hAnsi="Arial" w:cs="Arial"/>
          <w:color w:val="000000"/>
          <w:sz w:val="20"/>
          <w:szCs w:val="20"/>
        </w:rPr>
      </w:pPr>
      <w:r w:rsidRPr="00470480">
        <w:rPr>
          <w:rFonts w:ascii="Arial" w:hAnsi="Arial" w:cs="Arial"/>
          <w:color w:val="000000"/>
          <w:sz w:val="20"/>
          <w:szCs w:val="20"/>
        </w:rPr>
        <w:t xml:space="preserve">(P </w:t>
      </w:r>
      <w:proofErr w:type="spellStart"/>
      <w:r w:rsidRPr="00470480">
        <w:rPr>
          <w:rFonts w:ascii="Arial" w:hAnsi="Arial" w:cs="Arial"/>
          <w:color w:val="000000"/>
          <w:sz w:val="20"/>
          <w:szCs w:val="20"/>
        </w:rPr>
        <w:t>Vasudevan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262" w:history="1">
        <w:r w:rsidRPr="00470480">
          <w:rPr>
            <w:rStyle w:val="Hyperlink"/>
            <w:rFonts w:ascii="Arial" w:hAnsi="Arial" w:cs="Arial"/>
            <w:sz w:val="20"/>
            <w:szCs w:val="20"/>
          </w:rPr>
          <w:t>https://www.rbi.org.in/Scripts/NotificationUser.aspx?Id=12260&amp;Mode=0</w:t>
        </w:r>
      </w:hyperlink>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131C73" w:rsidRPr="00470480" w:rsidRDefault="00131C73"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Default="00866E4E" w:rsidP="00BE4BD6">
      <w:pPr>
        <w:spacing w:after="0"/>
        <w:jc w:val="both"/>
        <w:rPr>
          <w:rFonts w:ascii="Arial" w:hAnsi="Arial" w:cs="Arial"/>
          <w:sz w:val="20"/>
          <w:szCs w:val="20"/>
        </w:rPr>
      </w:pPr>
    </w:p>
    <w:p w:rsidR="007F311D" w:rsidRDefault="007F311D" w:rsidP="00BE4BD6">
      <w:pPr>
        <w:spacing w:after="0"/>
        <w:jc w:val="both"/>
        <w:rPr>
          <w:rFonts w:ascii="Arial" w:hAnsi="Arial" w:cs="Arial"/>
          <w:sz w:val="20"/>
          <w:szCs w:val="20"/>
        </w:rPr>
      </w:pPr>
    </w:p>
    <w:p w:rsidR="007F311D" w:rsidRDefault="007F311D" w:rsidP="00BE4BD6">
      <w:pPr>
        <w:spacing w:after="0"/>
        <w:jc w:val="both"/>
        <w:rPr>
          <w:rFonts w:ascii="Arial" w:hAnsi="Arial" w:cs="Arial"/>
          <w:sz w:val="20"/>
          <w:szCs w:val="20"/>
        </w:rPr>
      </w:pPr>
    </w:p>
    <w:p w:rsidR="007F311D" w:rsidRPr="00470480" w:rsidRDefault="007F311D"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866E4E" w:rsidRPr="00470480" w:rsidRDefault="00866E4E" w:rsidP="00BE4BD6">
      <w:pPr>
        <w:spacing w:after="0"/>
        <w:jc w:val="both"/>
        <w:rPr>
          <w:rFonts w:ascii="Arial" w:hAnsi="Arial" w:cs="Arial"/>
          <w:b/>
          <w:bCs/>
          <w:color w:val="000000"/>
          <w:sz w:val="20"/>
          <w:szCs w:val="20"/>
        </w:rPr>
      </w:pP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RBI/2021-22/185</w:t>
      </w:r>
      <w:r w:rsidRPr="00470480">
        <w:rPr>
          <w:rFonts w:ascii="Arial" w:hAnsi="Arial" w:cs="Arial"/>
          <w:color w:val="000000"/>
          <w:sz w:val="20"/>
          <w:szCs w:val="20"/>
        </w:rPr>
        <w:br/>
        <w:t>DOR.MRG.REC.96/21.04.141/2021-22</w:t>
      </w:r>
    </w:p>
    <w:p w:rsidR="00866E4E" w:rsidRPr="00470480" w:rsidRDefault="00866E4E" w:rsidP="00866E4E">
      <w:pPr>
        <w:pStyle w:val="NormalWeb"/>
        <w:jc w:val="right"/>
        <w:rPr>
          <w:rFonts w:ascii="Arial" w:hAnsi="Arial" w:cs="Arial"/>
          <w:color w:val="000000"/>
          <w:sz w:val="20"/>
          <w:szCs w:val="20"/>
        </w:rPr>
      </w:pPr>
      <w:r w:rsidRPr="00470480">
        <w:rPr>
          <w:rFonts w:ascii="Arial" w:hAnsi="Arial" w:cs="Arial"/>
          <w:color w:val="000000"/>
          <w:sz w:val="20"/>
          <w:szCs w:val="20"/>
        </w:rPr>
        <w:t>March 23, 2022</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866E4E" w:rsidRPr="00470480" w:rsidRDefault="00866E4E" w:rsidP="00866E4E">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63"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2. The Master Direction outlines the prudential treatment for investment in Venture Capital Funds (VCFs). We have received queries from banks regarding the applicability of these instructions for investment in Alternative Investment Funds (AIFs).</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 xml:space="preserve">3. Accordingly, on a review, it has been decided that the investment in Category I and Category II </w:t>
      </w:r>
      <w:proofErr w:type="spellStart"/>
      <w:r w:rsidRPr="00470480">
        <w:rPr>
          <w:rFonts w:ascii="Arial" w:hAnsi="Arial" w:cs="Arial"/>
          <w:color w:val="000000"/>
          <w:sz w:val="20"/>
          <w:szCs w:val="20"/>
        </w:rPr>
        <w:t>AlFs</w:t>
      </w:r>
      <w:proofErr w:type="spellEnd"/>
      <w:r w:rsidRPr="00470480">
        <w:rPr>
          <w:rFonts w:ascii="Arial" w:hAnsi="Arial" w:cs="Arial"/>
          <w:color w:val="000000"/>
          <w:sz w:val="20"/>
          <w:szCs w:val="20"/>
        </w:rPr>
        <w:t>, which includes VCFs, shall receive the same prudential treatment as applicable for investment in VCFs.</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4. In addition, based on feedback from banks, clarifications / updates have been provided regarding section 4(a)(vii), 10(c)(ix), 12(ii)(b), 12(ii)(d)(ix), 13(iv)(b), 16(</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16(ii), 18(ii)(e)(ii) and Annex II of the Master Direction.</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have been amended to reflect the aforementioned changes.</w:t>
      </w:r>
    </w:p>
    <w:p w:rsidR="00866E4E" w:rsidRPr="00470480" w:rsidRDefault="00866E4E" w:rsidP="00866E4E">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6. This circular is applicable to all Commercial Banks (excluding Regional Rural Banks).</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7. These instructions shall come into force with immediate effect.</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66E4E" w:rsidRPr="00470480" w:rsidRDefault="00866E4E" w:rsidP="00866E4E">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866E4E" w:rsidRPr="00470480" w:rsidRDefault="00866E4E"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264" w:history="1">
        <w:r w:rsidRPr="00470480">
          <w:rPr>
            <w:rStyle w:val="Hyperlink"/>
            <w:rFonts w:ascii="Arial" w:hAnsi="Arial" w:cs="Arial"/>
            <w:sz w:val="20"/>
            <w:szCs w:val="20"/>
          </w:rPr>
          <w:t>https://www.rbi.org.in/Scripts/NotificationUser.aspx?Id=12258&amp;Mode=0</w:t>
        </w:r>
      </w:hyperlink>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866E4E" w:rsidRPr="00470480" w:rsidRDefault="00866E4E"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(Regulatory Framework for Microfinance Loans) Directions, 2022</w:t>
      </w:r>
    </w:p>
    <w:p w:rsidR="00866E4E" w:rsidRPr="00470480" w:rsidRDefault="00866E4E" w:rsidP="00BE4BD6">
      <w:pPr>
        <w:spacing w:after="0"/>
        <w:jc w:val="both"/>
        <w:rPr>
          <w:rFonts w:ascii="Arial" w:hAnsi="Arial" w:cs="Arial"/>
          <w:b/>
          <w:bCs/>
          <w:color w:val="000000"/>
          <w:sz w:val="20"/>
          <w:szCs w:val="20"/>
        </w:rPr>
      </w:pP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RBI/DOR/2021-22/89</w:t>
      </w:r>
      <w:r w:rsidRPr="00470480">
        <w:rPr>
          <w:rFonts w:ascii="Arial" w:hAnsi="Arial" w:cs="Arial"/>
          <w:color w:val="000000"/>
          <w:sz w:val="20"/>
          <w:szCs w:val="20"/>
        </w:rPr>
        <w:br/>
        <w:t>DoR.FIN.REC.95/03.10.038/2021-22</w:t>
      </w:r>
    </w:p>
    <w:p w:rsidR="00866E4E" w:rsidRPr="00470480" w:rsidRDefault="00866E4E" w:rsidP="00866E4E">
      <w:pPr>
        <w:pStyle w:val="NormalWeb"/>
        <w:jc w:val="right"/>
        <w:rPr>
          <w:rFonts w:ascii="Arial" w:hAnsi="Arial" w:cs="Arial"/>
          <w:color w:val="000000"/>
          <w:sz w:val="20"/>
          <w:szCs w:val="20"/>
        </w:rPr>
      </w:pPr>
      <w:r w:rsidRPr="00470480">
        <w:rPr>
          <w:rFonts w:ascii="Arial" w:hAnsi="Arial" w:cs="Arial"/>
          <w:color w:val="000000"/>
          <w:sz w:val="20"/>
          <w:szCs w:val="20"/>
        </w:rPr>
        <w:t>March 14, 2022</w:t>
      </w:r>
    </w:p>
    <w:p w:rsidR="00866E4E" w:rsidRPr="00470480" w:rsidRDefault="00866E4E" w:rsidP="00866E4E">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w:t>
      </w:r>
      <w:r w:rsidRPr="00470480">
        <w:rPr>
          <w:rFonts w:ascii="Arial" w:hAnsi="Arial" w:cs="Arial"/>
          <w:color w:val="000000"/>
          <w:sz w:val="20"/>
          <w:szCs w:val="20"/>
        </w:rPr>
        <w:br/>
        <w:t>Local Area Banks and Regional Rural Banks) excluding Payments Banks</w:t>
      </w:r>
      <w:r w:rsidRPr="00470480">
        <w:rPr>
          <w:rFonts w:ascii="Arial" w:hAnsi="Arial" w:cs="Arial"/>
          <w:color w:val="000000"/>
          <w:sz w:val="20"/>
          <w:szCs w:val="20"/>
        </w:rPr>
        <w:br/>
        <w:t>All Primary (Urban) Co-operative Banks/ State Co-operative Banks/</w:t>
      </w:r>
      <w:r w:rsidRPr="00470480">
        <w:rPr>
          <w:rFonts w:ascii="Arial" w:hAnsi="Arial" w:cs="Arial"/>
          <w:color w:val="000000"/>
          <w:sz w:val="20"/>
          <w:szCs w:val="20"/>
        </w:rPr>
        <w:br/>
        <w:t>District Central Co-operative Banks</w:t>
      </w:r>
      <w:r w:rsidRPr="00470480">
        <w:rPr>
          <w:rFonts w:ascii="Arial" w:hAnsi="Arial" w:cs="Arial"/>
          <w:color w:val="000000"/>
          <w:sz w:val="20"/>
          <w:szCs w:val="20"/>
        </w:rPr>
        <w:br/>
        <w:t>All Non-Banking Financial Companies (including Microfinance Institutions</w:t>
      </w:r>
      <w:r w:rsidRPr="00470480">
        <w:rPr>
          <w:rFonts w:ascii="Arial" w:hAnsi="Arial" w:cs="Arial"/>
          <w:color w:val="000000"/>
          <w:sz w:val="20"/>
          <w:szCs w:val="20"/>
        </w:rPr>
        <w:br/>
        <w:t>and Housing Finance Companies)</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866E4E" w:rsidRPr="00470480" w:rsidRDefault="00866E4E" w:rsidP="00866E4E">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(Regulatory Framework for Microfinance Loans) Directions, 2022</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8 of the </w:t>
      </w:r>
      <w:hyperlink r:id="rId265"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announced as a part of the </w:t>
      </w:r>
      <w:hyperlink r:id="rId266" w:tgtFrame="_blank" w:history="1">
        <w:r w:rsidRPr="00470480">
          <w:rPr>
            <w:rStyle w:val="Hyperlink"/>
            <w:rFonts w:ascii="Arial" w:hAnsi="Arial" w:cs="Arial"/>
            <w:sz w:val="20"/>
            <w:szCs w:val="20"/>
          </w:rPr>
          <w:t>Bi-monthly Monetary Policy Statement for 2020-21 dated February 5, 2021</w:t>
        </w:r>
      </w:hyperlink>
      <w:r w:rsidRPr="00470480">
        <w:rPr>
          <w:rFonts w:ascii="Arial" w:hAnsi="Arial" w:cs="Arial"/>
          <w:color w:val="000000"/>
          <w:sz w:val="20"/>
          <w:szCs w:val="20"/>
        </w:rPr>
        <w:t>, regarding review of the regulatory framework for microfinance.</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2. A consultative document on regulation of microfinance loans was issued for public comments on </w:t>
      </w:r>
      <w:hyperlink r:id="rId267" w:tgtFrame="_blank" w:history="1">
        <w:r w:rsidRPr="00470480">
          <w:rPr>
            <w:rStyle w:val="Hyperlink"/>
            <w:rFonts w:ascii="Arial" w:hAnsi="Arial" w:cs="Arial"/>
            <w:sz w:val="20"/>
            <w:szCs w:val="20"/>
          </w:rPr>
          <w:t>June 14, 2021</w:t>
        </w:r>
      </w:hyperlink>
      <w:r w:rsidRPr="00470480">
        <w:rPr>
          <w:rFonts w:ascii="Arial" w:hAnsi="Arial" w:cs="Arial"/>
          <w:color w:val="000000"/>
          <w:sz w:val="20"/>
          <w:szCs w:val="20"/>
        </w:rPr>
        <w:t>. Based on the feedback received, it has now been decided to put in place the directions for microfinance loans which are </w:t>
      </w:r>
      <w:hyperlink r:id="rId268" w:anchor="MD" w:history="1">
        <w:r w:rsidRPr="00470480">
          <w:rPr>
            <w:rStyle w:val="Hyperlink"/>
            <w:rFonts w:ascii="Arial" w:hAnsi="Arial" w:cs="Arial"/>
            <w:sz w:val="20"/>
            <w:szCs w:val="20"/>
          </w:rPr>
          <w:t>enclosed</w:t>
        </w:r>
      </w:hyperlink>
      <w:r w:rsidRPr="00470480">
        <w:rPr>
          <w:rFonts w:ascii="Arial" w:hAnsi="Arial" w:cs="Arial"/>
          <w:color w:val="000000"/>
          <w:sz w:val="20"/>
          <w:szCs w:val="20"/>
        </w:rPr>
        <w:t>.</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66E4E" w:rsidRPr="00470480" w:rsidRDefault="00866E4E" w:rsidP="00866E4E">
      <w:pPr>
        <w:pStyle w:val="NormalWeb"/>
        <w:rPr>
          <w:rFonts w:ascii="Arial" w:hAnsi="Arial" w:cs="Arial"/>
          <w:color w:val="000000"/>
          <w:sz w:val="20"/>
          <w:szCs w:val="20"/>
        </w:rPr>
      </w:pPr>
      <w:r w:rsidRPr="00470480">
        <w:rPr>
          <w:rFonts w:ascii="Arial" w:hAnsi="Arial" w:cs="Arial"/>
          <w:color w:val="000000"/>
          <w:sz w:val="20"/>
          <w:szCs w:val="20"/>
        </w:rPr>
        <w:t>(J.P. Sharma)</w:t>
      </w:r>
      <w:r w:rsidRPr="00470480">
        <w:rPr>
          <w:rFonts w:ascii="Arial" w:hAnsi="Arial" w:cs="Arial"/>
          <w:color w:val="000000"/>
          <w:sz w:val="20"/>
          <w:szCs w:val="20"/>
        </w:rPr>
        <w:br/>
        <w:t>Chief General Manager</w:t>
      </w:r>
    </w:p>
    <w:p w:rsidR="00454EA3" w:rsidRDefault="00454EA3" w:rsidP="00454EA3">
      <w:pPr>
        <w:pStyle w:val="NormalWeb"/>
        <w:jc w:val="both"/>
        <w:rPr>
          <w:rFonts w:ascii="Arial" w:hAnsi="Arial" w:cs="Arial"/>
          <w:color w:val="000000"/>
          <w:sz w:val="20"/>
          <w:szCs w:val="20"/>
        </w:rPr>
      </w:pPr>
    </w:p>
    <w:p w:rsidR="00536CF8" w:rsidRDefault="00536CF8" w:rsidP="00536CF8">
      <w:pPr>
        <w:pStyle w:val="NormalWeb"/>
        <w:spacing w:before="0" w:beforeAutospacing="0" w:after="0" w:afterAutospacing="0"/>
        <w:jc w:val="both"/>
        <w:rPr>
          <w:rFonts w:ascii="Arial" w:hAnsi="Arial" w:cs="Arial"/>
          <w:color w:val="000000"/>
          <w:sz w:val="20"/>
          <w:szCs w:val="20"/>
        </w:rPr>
      </w:pPr>
    </w:p>
    <w:p w:rsidR="00454EA3" w:rsidRPr="00470480" w:rsidRDefault="00454EA3" w:rsidP="00536CF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866E4E" w:rsidRPr="00470480" w:rsidRDefault="00866E4E" w:rsidP="00536CF8">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269" w:history="1">
        <w:r w:rsidRPr="00470480">
          <w:rPr>
            <w:rStyle w:val="Hyperlink"/>
            <w:rFonts w:ascii="Arial" w:hAnsi="Arial" w:cs="Arial"/>
            <w:sz w:val="20"/>
            <w:szCs w:val="20"/>
          </w:rPr>
          <w:t>https://www.rbi.org.in/Scripts/NotificationUser.aspx?Id=12256&amp;Mode=0</w:t>
        </w:r>
      </w:hyperlink>
    </w:p>
    <w:p w:rsidR="00866E4E" w:rsidRPr="00470480" w:rsidRDefault="00866E4E" w:rsidP="00866E4E">
      <w:pPr>
        <w:pStyle w:val="NormalWeb"/>
        <w:rPr>
          <w:rFonts w:ascii="Arial" w:hAnsi="Arial" w:cs="Arial"/>
          <w:color w:val="000000"/>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454EA3" w:rsidRDefault="00454EA3" w:rsidP="00BE4BD6">
      <w:pPr>
        <w:spacing w:after="0"/>
        <w:jc w:val="both"/>
        <w:rPr>
          <w:rFonts w:ascii="Arial" w:hAnsi="Arial" w:cs="Arial"/>
          <w:sz w:val="20"/>
          <w:szCs w:val="20"/>
        </w:rPr>
      </w:pPr>
    </w:p>
    <w:p w:rsidR="00536CF8" w:rsidRDefault="00536CF8" w:rsidP="00BE4BD6">
      <w:pPr>
        <w:spacing w:after="0"/>
        <w:jc w:val="both"/>
        <w:rPr>
          <w:rFonts w:ascii="Arial" w:hAnsi="Arial" w:cs="Arial"/>
          <w:b/>
          <w:bCs/>
          <w:color w:val="000000"/>
          <w:sz w:val="20"/>
          <w:szCs w:val="20"/>
        </w:rPr>
      </w:pPr>
    </w:p>
    <w:p w:rsidR="00866E4E" w:rsidRPr="00470480" w:rsidRDefault="00866E4E" w:rsidP="00BE4BD6">
      <w:pPr>
        <w:spacing w:after="0"/>
        <w:jc w:val="both"/>
        <w:rPr>
          <w:rFonts w:ascii="Arial" w:hAnsi="Arial" w:cs="Arial"/>
          <w:sz w:val="20"/>
          <w:szCs w:val="20"/>
        </w:rPr>
      </w:pPr>
      <w:r w:rsidRPr="00470480">
        <w:rPr>
          <w:rFonts w:ascii="Arial" w:hAnsi="Arial" w:cs="Arial"/>
          <w:b/>
          <w:bCs/>
          <w:color w:val="000000"/>
          <w:sz w:val="20"/>
          <w:szCs w:val="20"/>
        </w:rPr>
        <w:t>Interest Equalization Scheme on Pre and Post Shipment Rupee Export Credit - Extension</w:t>
      </w:r>
    </w:p>
    <w:p w:rsidR="00866E4E" w:rsidRPr="00470480" w:rsidRDefault="00866E4E" w:rsidP="00BE4BD6">
      <w:pPr>
        <w:spacing w:after="0"/>
        <w:jc w:val="both"/>
        <w:rPr>
          <w:rFonts w:ascii="Arial" w:hAnsi="Arial" w:cs="Arial"/>
          <w:sz w:val="20"/>
          <w:szCs w:val="20"/>
        </w:rPr>
      </w:pPr>
    </w:p>
    <w:p w:rsidR="007F311D" w:rsidRDefault="007F311D" w:rsidP="00866E4E">
      <w:pPr>
        <w:pStyle w:val="NormalWeb"/>
        <w:jc w:val="both"/>
        <w:rPr>
          <w:rFonts w:ascii="Arial" w:hAnsi="Arial" w:cs="Arial"/>
          <w:color w:val="000000"/>
          <w:sz w:val="20"/>
          <w:szCs w:val="20"/>
        </w:rPr>
      </w:pP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RBI/2021-22/180</w:t>
      </w:r>
      <w:r w:rsidRPr="00470480">
        <w:rPr>
          <w:rFonts w:ascii="Arial" w:hAnsi="Arial" w:cs="Arial"/>
          <w:color w:val="000000"/>
          <w:sz w:val="20"/>
          <w:szCs w:val="20"/>
        </w:rPr>
        <w:br/>
        <w:t>DOR.STR.REC.93/04.02.001/2021-22</w:t>
      </w:r>
    </w:p>
    <w:p w:rsidR="00866E4E" w:rsidRPr="00470480" w:rsidRDefault="00866E4E" w:rsidP="00866E4E">
      <w:pPr>
        <w:pStyle w:val="NormalWeb"/>
        <w:jc w:val="right"/>
        <w:rPr>
          <w:rFonts w:ascii="Arial" w:hAnsi="Arial" w:cs="Arial"/>
          <w:color w:val="000000"/>
          <w:sz w:val="20"/>
          <w:szCs w:val="20"/>
        </w:rPr>
      </w:pPr>
      <w:r w:rsidRPr="00470480">
        <w:rPr>
          <w:rFonts w:ascii="Arial" w:hAnsi="Arial" w:cs="Arial"/>
          <w:color w:val="000000"/>
          <w:sz w:val="20"/>
          <w:szCs w:val="20"/>
        </w:rPr>
        <w:t>March 8, 2022</w:t>
      </w:r>
    </w:p>
    <w:p w:rsidR="00866E4E" w:rsidRPr="00470480" w:rsidRDefault="00866E4E" w:rsidP="00866E4E">
      <w:pPr>
        <w:pStyle w:val="NormalWeb"/>
        <w:rPr>
          <w:rFonts w:ascii="Arial" w:hAnsi="Arial" w:cs="Arial"/>
          <w:color w:val="000000"/>
          <w:sz w:val="20"/>
          <w:szCs w:val="20"/>
        </w:rPr>
      </w:pPr>
      <w:r w:rsidRPr="00470480">
        <w:rPr>
          <w:rFonts w:ascii="Arial" w:hAnsi="Arial" w:cs="Arial"/>
          <w:color w:val="000000"/>
          <w:sz w:val="20"/>
          <w:szCs w:val="20"/>
        </w:rPr>
        <w:t>All Scheduled Commercial Banks (excluding RRBs),</w:t>
      </w:r>
      <w:r w:rsidRPr="00470480">
        <w:rPr>
          <w:rFonts w:ascii="Arial" w:hAnsi="Arial" w:cs="Arial"/>
          <w:color w:val="000000"/>
          <w:sz w:val="20"/>
          <w:szCs w:val="20"/>
        </w:rPr>
        <w:br/>
        <w:t>Small Finance Banks,</w:t>
      </w:r>
      <w:r w:rsidRPr="00470480">
        <w:rPr>
          <w:rFonts w:ascii="Arial" w:hAnsi="Arial" w:cs="Arial"/>
          <w:color w:val="000000"/>
          <w:sz w:val="20"/>
          <w:szCs w:val="20"/>
        </w:rPr>
        <w:br/>
        <w:t>Primary (Urban) Cooperative Banks (scheduled banks having AD category-I license), and EXIM Bank</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866E4E" w:rsidRPr="00470480" w:rsidRDefault="00866E4E" w:rsidP="00866E4E">
      <w:pPr>
        <w:pStyle w:val="head"/>
        <w:jc w:val="both"/>
        <w:rPr>
          <w:rFonts w:ascii="Arial" w:hAnsi="Arial" w:cs="Arial"/>
          <w:b/>
          <w:bCs/>
          <w:color w:val="000000"/>
          <w:sz w:val="20"/>
          <w:szCs w:val="20"/>
        </w:rPr>
      </w:pPr>
      <w:r w:rsidRPr="00470480">
        <w:rPr>
          <w:rFonts w:ascii="Arial" w:hAnsi="Arial" w:cs="Arial"/>
          <w:b/>
          <w:bCs/>
          <w:color w:val="000000"/>
          <w:sz w:val="20"/>
          <w:szCs w:val="20"/>
        </w:rPr>
        <w:t>Interest Equalization Scheme on Pre and Post Shipment Rupee Export Credit - Extension</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Please refer to the instructions issued vide </w:t>
      </w:r>
      <w:hyperlink r:id="rId270" w:tgtFrame="_blank" w:history="1">
        <w:r w:rsidRPr="00470480">
          <w:rPr>
            <w:rStyle w:val="Hyperlink"/>
            <w:rFonts w:ascii="Arial" w:hAnsi="Arial" w:cs="Arial"/>
            <w:sz w:val="20"/>
            <w:szCs w:val="20"/>
          </w:rPr>
          <w:t>circular DOR.CRE(DIR).REC.28/04.02.001/2021-22 dated July 1, 2021</w:t>
        </w:r>
      </w:hyperlink>
      <w:r w:rsidRPr="00470480">
        <w:rPr>
          <w:rFonts w:ascii="Arial" w:hAnsi="Arial" w:cs="Arial"/>
          <w:color w:val="000000"/>
          <w:sz w:val="20"/>
          <w:szCs w:val="20"/>
        </w:rPr>
        <w:t>.</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2. Government of India has approved the extension of Interest Equalization Scheme for Pre and Post Shipment Rupee Export Credit (‘Scheme’) up to March 31, 2024 or till further review, whichever is earlier. The extension takes effect from October 1, 2021 and ends on March 31, 2024. The modifications made by the Government to the Scheme are detailed below:</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2.1 ‘Telecom Instruments’ sector having six HS lines</w:t>
      </w:r>
      <w:hyperlink r:id="rId271"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shall be out of the purview of the Scheme, except for MSME manufacturer exporters.</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2.2 Revised interest equalisation rates under the Scheme will now be 3 per cent for MSME manufacturer exporters exporting under any HS lines, and 2 per cent for manufacturer exporters and merchant exporters exporting under 410 HS lines (after excluding 6 HS lines pertaining to Telecom Sector as mentioned above).</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 xml:space="preserve">2.3 Banks, while issuing approval to the exporter, will necessarily furnish </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the prevailing interest rate, ii) the interest subvention being provided, and iii) the net rate being charged to each exporter, so as to ensure transparency and greater accountability in the operation of the Scheme.</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2.4 The extended Scheme will not be available to those beneficiaries who are availing the benefit under any Production Linked Incentive (PLI) scheme of the government.</w:t>
      </w:r>
    </w:p>
    <w:p w:rsidR="00443878" w:rsidRPr="00470480" w:rsidRDefault="00443878" w:rsidP="00443878">
      <w:pPr>
        <w:pStyle w:val="NormalWeb"/>
        <w:jc w:val="both"/>
        <w:rPr>
          <w:rFonts w:ascii="Arial" w:hAnsi="Arial" w:cs="Arial"/>
          <w:color w:val="000000"/>
          <w:sz w:val="20"/>
          <w:szCs w:val="20"/>
        </w:rPr>
      </w:pPr>
      <w:r>
        <w:rPr>
          <w:rFonts w:ascii="Arial" w:hAnsi="Arial" w:cs="Arial"/>
          <w:color w:val="000000"/>
          <w:sz w:val="20"/>
          <w:szCs w:val="20"/>
        </w:rPr>
        <w:t>For the details, refer to the link below.</w:t>
      </w:r>
    </w:p>
    <w:p w:rsidR="00536CF8" w:rsidRDefault="00536CF8" w:rsidP="00866E4E">
      <w:pPr>
        <w:pStyle w:val="NormalWeb"/>
        <w:rPr>
          <w:rFonts w:ascii="Arial" w:hAnsi="Arial" w:cs="Arial"/>
          <w:color w:val="000000"/>
          <w:sz w:val="20"/>
          <w:szCs w:val="20"/>
        </w:rPr>
      </w:pPr>
    </w:p>
    <w:p w:rsidR="00866E4E" w:rsidRPr="00470480" w:rsidRDefault="00866E4E" w:rsidP="00866E4E">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72" w:history="1">
        <w:r w:rsidRPr="00470480">
          <w:rPr>
            <w:rStyle w:val="Hyperlink"/>
            <w:rFonts w:ascii="Arial" w:hAnsi="Arial" w:cs="Arial"/>
            <w:sz w:val="20"/>
            <w:szCs w:val="20"/>
          </w:rPr>
          <w:t>https://www.rbi.org.in/Scripts/NotificationUser.aspx?Id=12252&amp;Mode=0</w:t>
        </w:r>
      </w:hyperlink>
    </w:p>
    <w:p w:rsidR="00866E4E" w:rsidRPr="00470480" w:rsidRDefault="00866E4E" w:rsidP="00866E4E">
      <w:pPr>
        <w:pStyle w:val="NormalWeb"/>
        <w:rPr>
          <w:rFonts w:ascii="Arial" w:hAnsi="Arial" w:cs="Arial"/>
          <w:color w:val="000000"/>
          <w:sz w:val="20"/>
          <w:szCs w:val="20"/>
        </w:rPr>
      </w:pPr>
    </w:p>
    <w:p w:rsidR="00866E4E" w:rsidRPr="00470480" w:rsidRDefault="00866E4E" w:rsidP="00866E4E">
      <w:pPr>
        <w:pStyle w:val="NormalWeb"/>
        <w:rPr>
          <w:rFonts w:ascii="Arial" w:hAnsi="Arial" w:cs="Arial"/>
          <w:color w:val="000000"/>
          <w:sz w:val="20"/>
          <w:szCs w:val="20"/>
        </w:rPr>
      </w:pPr>
    </w:p>
    <w:p w:rsidR="00866E4E" w:rsidRPr="00470480" w:rsidRDefault="00866E4E" w:rsidP="00866E4E">
      <w:pPr>
        <w:pStyle w:val="NormalWeb"/>
        <w:rPr>
          <w:rFonts w:ascii="Arial" w:hAnsi="Arial" w:cs="Arial"/>
          <w:color w:val="000000"/>
          <w:sz w:val="20"/>
          <w:szCs w:val="20"/>
        </w:rPr>
      </w:pPr>
    </w:p>
    <w:p w:rsidR="00866E4E" w:rsidRPr="00470480" w:rsidRDefault="00866E4E" w:rsidP="00866E4E">
      <w:pPr>
        <w:pStyle w:val="NormalWeb"/>
        <w:rPr>
          <w:rFonts w:ascii="Arial" w:hAnsi="Arial" w:cs="Arial"/>
          <w:color w:val="000000"/>
          <w:sz w:val="20"/>
          <w:szCs w:val="20"/>
        </w:rPr>
      </w:pPr>
    </w:p>
    <w:p w:rsidR="00866E4E" w:rsidRPr="00470480" w:rsidRDefault="00866E4E" w:rsidP="00866E4E">
      <w:pPr>
        <w:pStyle w:val="NormalWeb"/>
        <w:rPr>
          <w:rFonts w:ascii="Arial" w:hAnsi="Arial" w:cs="Arial"/>
          <w:color w:val="000000"/>
          <w:sz w:val="20"/>
          <w:szCs w:val="20"/>
        </w:rPr>
      </w:pPr>
    </w:p>
    <w:p w:rsidR="00866E4E" w:rsidRPr="00470480" w:rsidRDefault="00866E4E" w:rsidP="00866E4E">
      <w:pPr>
        <w:pStyle w:val="NormalWeb"/>
        <w:rPr>
          <w:rFonts w:ascii="Arial" w:hAnsi="Arial" w:cs="Arial"/>
          <w:color w:val="000000"/>
          <w:sz w:val="20"/>
          <w:szCs w:val="20"/>
        </w:rPr>
      </w:pPr>
    </w:p>
    <w:p w:rsidR="00866E4E" w:rsidRPr="00470480" w:rsidRDefault="00866E4E" w:rsidP="00866E4E">
      <w:pPr>
        <w:pStyle w:val="NormalWeb"/>
        <w:rPr>
          <w:rFonts w:ascii="Arial" w:hAnsi="Arial" w:cs="Arial"/>
          <w:b/>
          <w:bCs/>
          <w:color w:val="000000"/>
          <w:sz w:val="20"/>
          <w:szCs w:val="20"/>
        </w:rPr>
      </w:pPr>
      <w:r w:rsidRPr="00470480">
        <w:rPr>
          <w:rFonts w:ascii="Arial" w:hAnsi="Arial" w:cs="Arial"/>
          <w:b/>
          <w:bCs/>
          <w:color w:val="000000"/>
          <w:sz w:val="20"/>
          <w:szCs w:val="20"/>
        </w:rPr>
        <w:t>Issue and regulation of share capital and securities - Primary (Urban) Co-operative Banks</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RBI/2021-22/179</w:t>
      </w:r>
      <w:r w:rsidRPr="00470480">
        <w:rPr>
          <w:rFonts w:ascii="Arial" w:hAnsi="Arial" w:cs="Arial"/>
          <w:color w:val="000000"/>
          <w:sz w:val="20"/>
          <w:szCs w:val="20"/>
        </w:rPr>
        <w:br/>
        <w:t>DOR.CAP.REC.92/09.18.201/2021-22</w:t>
      </w:r>
    </w:p>
    <w:p w:rsidR="00866E4E" w:rsidRPr="00470480" w:rsidRDefault="00866E4E" w:rsidP="00866E4E">
      <w:pPr>
        <w:pStyle w:val="NormalWeb"/>
        <w:jc w:val="right"/>
        <w:rPr>
          <w:rFonts w:ascii="Arial" w:hAnsi="Arial" w:cs="Arial"/>
          <w:color w:val="000000"/>
          <w:sz w:val="20"/>
          <w:szCs w:val="20"/>
        </w:rPr>
      </w:pPr>
      <w:r w:rsidRPr="00470480">
        <w:rPr>
          <w:rFonts w:ascii="Arial" w:hAnsi="Arial" w:cs="Arial"/>
          <w:color w:val="000000"/>
          <w:sz w:val="20"/>
          <w:szCs w:val="20"/>
        </w:rPr>
        <w:t>March 08, 2022</w:t>
      </w:r>
    </w:p>
    <w:p w:rsidR="00866E4E" w:rsidRPr="00470480" w:rsidRDefault="00866E4E" w:rsidP="00866E4E">
      <w:pPr>
        <w:pStyle w:val="NormalWeb"/>
        <w:rPr>
          <w:rFonts w:ascii="Arial" w:hAnsi="Arial" w:cs="Arial"/>
          <w:color w:val="000000"/>
          <w:sz w:val="20"/>
          <w:szCs w:val="20"/>
        </w:rPr>
      </w:pPr>
      <w:r w:rsidRPr="00470480">
        <w:rPr>
          <w:rFonts w:ascii="Arial" w:hAnsi="Arial" w:cs="Arial"/>
          <w:color w:val="000000"/>
          <w:sz w:val="20"/>
          <w:szCs w:val="20"/>
        </w:rPr>
        <w:t>The Chief Executive Officer</w:t>
      </w:r>
      <w:r w:rsidRPr="00470480">
        <w:rPr>
          <w:rFonts w:ascii="Arial" w:hAnsi="Arial" w:cs="Arial"/>
          <w:color w:val="000000"/>
          <w:sz w:val="20"/>
          <w:szCs w:val="20"/>
        </w:rPr>
        <w:br/>
        <w:t>All Primary (Urban) Co-operative Banks</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66E4E" w:rsidRPr="00470480" w:rsidRDefault="00866E4E" w:rsidP="00866E4E">
      <w:pPr>
        <w:pStyle w:val="head"/>
        <w:jc w:val="both"/>
        <w:rPr>
          <w:rFonts w:ascii="Arial" w:hAnsi="Arial" w:cs="Arial"/>
          <w:b/>
          <w:bCs/>
          <w:color w:val="000000"/>
          <w:sz w:val="20"/>
          <w:szCs w:val="20"/>
        </w:rPr>
      </w:pPr>
      <w:r w:rsidRPr="00470480">
        <w:rPr>
          <w:rFonts w:ascii="Arial" w:hAnsi="Arial" w:cs="Arial"/>
          <w:b/>
          <w:bCs/>
          <w:color w:val="000000"/>
          <w:sz w:val="20"/>
          <w:szCs w:val="20"/>
        </w:rPr>
        <w:t>Issue and regulation of share capital and securities - Primary (Urban) Co-operative Banks</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The Banking Regulation (Amendment) Act, 2020 (No. 39 of 2020), notified in the Gazette of India on September 29, 2020 (vide Notification No. 64 of that date), is deemed to have come into force with effect from June 29, 2020 for Primary (Urban) Co-operative Banks (UCBs).</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2. The extant instructions for UCBs on issue and regulation of capital funds have been reviewed keeping in view, inter alia, the provisions of Section 12 read with Section 56 of the amended Banking Regulation Act, 1949 (BR Act).</w:t>
      </w:r>
    </w:p>
    <w:p w:rsidR="00443878" w:rsidRDefault="00443878" w:rsidP="00443878">
      <w:pPr>
        <w:pStyle w:val="head"/>
        <w:jc w:val="both"/>
        <w:rPr>
          <w:rFonts w:ascii="Arial" w:hAnsi="Arial" w:cs="Arial"/>
          <w:bCs/>
          <w:color w:val="000000"/>
          <w:sz w:val="20"/>
          <w:szCs w:val="20"/>
        </w:rPr>
      </w:pPr>
    </w:p>
    <w:p w:rsidR="00443878" w:rsidRDefault="00443878" w:rsidP="00443878">
      <w:pPr>
        <w:pStyle w:val="head"/>
        <w:jc w:val="both"/>
        <w:rPr>
          <w:rFonts w:ascii="Arial" w:hAnsi="Arial" w:cs="Arial"/>
          <w:bCs/>
          <w:color w:val="000000"/>
          <w:sz w:val="20"/>
          <w:szCs w:val="20"/>
        </w:rPr>
      </w:pPr>
      <w:r w:rsidRPr="00443878">
        <w:rPr>
          <w:rFonts w:ascii="Arial" w:hAnsi="Arial" w:cs="Arial"/>
          <w:bCs/>
          <w:color w:val="000000"/>
          <w:sz w:val="20"/>
          <w:szCs w:val="20"/>
        </w:rPr>
        <w:t>For information on a</w:t>
      </w:r>
      <w:r w:rsidR="00866E4E" w:rsidRPr="00443878">
        <w:rPr>
          <w:rFonts w:ascii="Arial" w:hAnsi="Arial" w:cs="Arial"/>
          <w:bCs/>
          <w:color w:val="000000"/>
          <w:sz w:val="20"/>
          <w:szCs w:val="20"/>
        </w:rPr>
        <w:t>ugmentation of capital funds</w:t>
      </w:r>
      <w:r w:rsidRPr="00443878">
        <w:rPr>
          <w:rFonts w:ascii="Arial" w:hAnsi="Arial" w:cs="Arial"/>
          <w:bCs/>
          <w:color w:val="000000"/>
          <w:sz w:val="20"/>
          <w:szCs w:val="20"/>
        </w:rPr>
        <w:t>, refund of share capital, repeal and effective date, refer to the link below.</w:t>
      </w:r>
    </w:p>
    <w:p w:rsidR="00536CF8" w:rsidRDefault="00536CF8" w:rsidP="00443878">
      <w:pPr>
        <w:pStyle w:val="head"/>
        <w:jc w:val="both"/>
        <w:rPr>
          <w:rFonts w:ascii="Arial" w:hAnsi="Arial" w:cs="Arial"/>
          <w:sz w:val="20"/>
          <w:szCs w:val="20"/>
        </w:rPr>
      </w:pPr>
    </w:p>
    <w:p w:rsidR="00866E4E" w:rsidRPr="00443878" w:rsidRDefault="00866E4E" w:rsidP="00443878">
      <w:pPr>
        <w:pStyle w:val="head"/>
        <w:jc w:val="both"/>
        <w:rPr>
          <w:rFonts w:ascii="Arial" w:hAnsi="Arial" w:cs="Arial"/>
          <w:bCs/>
          <w:color w:val="000000"/>
          <w:sz w:val="20"/>
          <w:szCs w:val="20"/>
        </w:rPr>
      </w:pPr>
      <w:r w:rsidRPr="00470480">
        <w:rPr>
          <w:rFonts w:ascii="Arial" w:hAnsi="Arial" w:cs="Arial"/>
          <w:sz w:val="20"/>
          <w:szCs w:val="20"/>
        </w:rPr>
        <w:t xml:space="preserve">Reference Link: </w:t>
      </w:r>
      <w:hyperlink r:id="rId273" w:history="1">
        <w:r w:rsidRPr="00470480">
          <w:rPr>
            <w:rStyle w:val="Hyperlink"/>
            <w:rFonts w:ascii="Arial" w:hAnsi="Arial" w:cs="Arial"/>
            <w:sz w:val="20"/>
            <w:szCs w:val="20"/>
          </w:rPr>
          <w:t>https://www.rbi.org.in/Scripts/NotificationUser.aspx?Id=12251&amp;Mode=0</w:t>
        </w:r>
      </w:hyperlink>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sz w:val="20"/>
          <w:szCs w:val="20"/>
        </w:rPr>
      </w:pPr>
    </w:p>
    <w:p w:rsidR="00866E4E" w:rsidRPr="00470480" w:rsidRDefault="00866E4E"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Investment in Umbrella Organization (UO) by Primary (Urban) Co-operative Banks</w:t>
      </w:r>
    </w:p>
    <w:p w:rsidR="00866E4E" w:rsidRPr="00470480" w:rsidRDefault="00866E4E" w:rsidP="00BE4BD6">
      <w:pPr>
        <w:spacing w:after="0"/>
        <w:jc w:val="both"/>
        <w:rPr>
          <w:rFonts w:ascii="Arial" w:hAnsi="Arial" w:cs="Arial"/>
          <w:b/>
          <w:bCs/>
          <w:color w:val="000000"/>
          <w:sz w:val="20"/>
          <w:szCs w:val="20"/>
        </w:rPr>
      </w:pP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RBI/2021-22/177</w:t>
      </w:r>
      <w:r w:rsidRPr="00470480">
        <w:rPr>
          <w:rFonts w:ascii="Arial" w:hAnsi="Arial" w:cs="Arial"/>
          <w:color w:val="000000"/>
          <w:sz w:val="20"/>
          <w:szCs w:val="20"/>
        </w:rPr>
        <w:br/>
        <w:t>DOR.REC.MRG.90/16.20.000/2021-22</w:t>
      </w:r>
    </w:p>
    <w:p w:rsidR="00866E4E" w:rsidRPr="00470480" w:rsidRDefault="00866E4E" w:rsidP="00866E4E">
      <w:pPr>
        <w:pStyle w:val="NormalWeb"/>
        <w:jc w:val="right"/>
        <w:rPr>
          <w:rFonts w:ascii="Arial" w:hAnsi="Arial" w:cs="Arial"/>
          <w:color w:val="000000"/>
          <w:sz w:val="20"/>
          <w:szCs w:val="20"/>
        </w:rPr>
      </w:pPr>
      <w:r w:rsidRPr="00470480">
        <w:rPr>
          <w:rFonts w:ascii="Arial" w:hAnsi="Arial" w:cs="Arial"/>
          <w:color w:val="000000"/>
          <w:sz w:val="20"/>
          <w:szCs w:val="20"/>
        </w:rPr>
        <w:t>March 3, 2022</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66E4E" w:rsidRPr="00470480" w:rsidRDefault="00866E4E" w:rsidP="00866E4E">
      <w:pPr>
        <w:pStyle w:val="head"/>
        <w:jc w:val="both"/>
        <w:rPr>
          <w:rFonts w:ascii="Arial" w:hAnsi="Arial" w:cs="Arial"/>
          <w:b/>
          <w:bCs/>
          <w:color w:val="000000"/>
          <w:sz w:val="20"/>
          <w:szCs w:val="20"/>
        </w:rPr>
      </w:pPr>
      <w:r w:rsidRPr="00470480">
        <w:rPr>
          <w:rFonts w:ascii="Arial" w:hAnsi="Arial" w:cs="Arial"/>
          <w:b/>
          <w:bCs/>
          <w:color w:val="000000"/>
          <w:sz w:val="20"/>
          <w:szCs w:val="20"/>
        </w:rPr>
        <w:t>Investment in Umbrella Organization (UO) by Primary (Urban) Co-operative Banks</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274" w:tgtFrame="_blank" w:history="1">
        <w:r w:rsidRPr="00470480">
          <w:rPr>
            <w:rStyle w:val="Hyperlink"/>
            <w:rFonts w:ascii="Arial" w:hAnsi="Arial" w:cs="Arial"/>
            <w:sz w:val="20"/>
            <w:szCs w:val="20"/>
          </w:rPr>
          <w:t>circular UBD.(PCB).BPD.Cir.No.46/16.20.000/2008-09 dated January 30, 2009</w:t>
        </w:r>
      </w:hyperlink>
      <w:r w:rsidRPr="00470480">
        <w:rPr>
          <w:rFonts w:ascii="Arial" w:hAnsi="Arial" w:cs="Arial"/>
          <w:color w:val="000000"/>
          <w:sz w:val="20"/>
          <w:szCs w:val="20"/>
        </w:rPr>
        <w:t> on Investments in Non-SLR securities by Primary (Urban) Co-operative Banks. Paragraph 2(</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of the circular states that the non-SLR investments shall be limited to ten per cent of a bank’s total deposits as on March 31 of the previous year. Further, paragraph 2(iii)(b) states that investments in unlisted securities shall not exceed ten per cent of the total non-SLR investments at any time.</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2. RBI has accorded regulatory approval to National Federation of Urban Co-operative Banks and Credit Societies Ltd. (NAFCUB) in June 2019 for formation of Umbrella Organization (UO) for the UCB Sector. The approval </w:t>
      </w:r>
      <w:r w:rsidRPr="00470480">
        <w:rPr>
          <w:rStyle w:val="Emphasis"/>
          <w:rFonts w:ascii="Arial" w:hAnsi="Arial" w:cs="Arial"/>
          <w:color w:val="000000"/>
          <w:sz w:val="20"/>
          <w:szCs w:val="20"/>
        </w:rPr>
        <w:t>inter-alia</w:t>
      </w:r>
      <w:r w:rsidRPr="00470480">
        <w:rPr>
          <w:rFonts w:ascii="Arial" w:hAnsi="Arial" w:cs="Arial"/>
          <w:color w:val="000000"/>
          <w:sz w:val="20"/>
          <w:szCs w:val="20"/>
        </w:rPr>
        <w:t> permits UCBs to subscribe to capital of the UO on voluntary basis.</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3. It is advised that the investment made for subscribing to the capital of the UO, for acquiring its membership, shall be exempt from the limits prescribed in Paragraphs 2(</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and 2(iii)(b) of the circular ibid.</w:t>
      </w:r>
    </w:p>
    <w:p w:rsidR="00866E4E" w:rsidRPr="00470480" w:rsidRDefault="00866E4E" w:rsidP="00866E4E">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Primary (Urban) Co-operative Banks.</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5. These instructions come into effect from the date of the circular.</w:t>
      </w:r>
    </w:p>
    <w:p w:rsidR="00866E4E" w:rsidRPr="00470480" w:rsidRDefault="00866E4E" w:rsidP="00866E4E">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66E4E" w:rsidRPr="00470480" w:rsidRDefault="00866E4E" w:rsidP="00866E4E">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866E4E" w:rsidRPr="00470480" w:rsidRDefault="00866E4E" w:rsidP="00866E4E">
      <w:pPr>
        <w:pStyle w:val="NormalWeb"/>
        <w:rPr>
          <w:rFonts w:ascii="Arial" w:hAnsi="Arial" w:cs="Arial"/>
          <w:color w:val="000000"/>
          <w:sz w:val="20"/>
          <w:szCs w:val="20"/>
        </w:rPr>
      </w:pPr>
    </w:p>
    <w:p w:rsidR="00866E4E" w:rsidRPr="00470480" w:rsidRDefault="00866E4E" w:rsidP="00866E4E">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75" w:history="1">
        <w:r w:rsidRPr="00470480">
          <w:rPr>
            <w:rStyle w:val="Hyperlink"/>
            <w:rFonts w:ascii="Arial" w:hAnsi="Arial" w:cs="Arial"/>
            <w:sz w:val="20"/>
            <w:szCs w:val="20"/>
          </w:rPr>
          <w:t>https://www.rbi.org.in/Scripts/NotificationUser.aspx?Id=12249&amp;Mode=0</w:t>
        </w:r>
      </w:hyperlink>
    </w:p>
    <w:p w:rsidR="00866E4E" w:rsidRPr="00470480" w:rsidRDefault="00866E4E" w:rsidP="00866E4E">
      <w:pPr>
        <w:pStyle w:val="NormalWeb"/>
        <w:rPr>
          <w:rFonts w:ascii="Arial" w:hAnsi="Arial" w:cs="Arial"/>
          <w:color w:val="000000"/>
          <w:sz w:val="20"/>
          <w:szCs w:val="20"/>
        </w:rPr>
      </w:pPr>
    </w:p>
    <w:p w:rsidR="00866E4E" w:rsidRPr="00470480" w:rsidRDefault="00866E4E" w:rsidP="00866E4E">
      <w:pPr>
        <w:pStyle w:val="NormalWeb"/>
        <w:rPr>
          <w:rFonts w:ascii="Arial" w:hAnsi="Arial" w:cs="Arial"/>
          <w:color w:val="000000"/>
          <w:sz w:val="20"/>
          <w:szCs w:val="20"/>
        </w:rPr>
      </w:pPr>
    </w:p>
    <w:p w:rsidR="00866E4E" w:rsidRPr="00470480" w:rsidRDefault="00866E4E" w:rsidP="00866E4E">
      <w:pPr>
        <w:pStyle w:val="NormalWeb"/>
        <w:rPr>
          <w:rFonts w:ascii="Arial" w:hAnsi="Arial" w:cs="Arial"/>
          <w:color w:val="000000"/>
          <w:sz w:val="20"/>
          <w:szCs w:val="20"/>
        </w:rPr>
      </w:pPr>
    </w:p>
    <w:p w:rsidR="00866E4E" w:rsidRPr="00470480" w:rsidRDefault="00866E4E" w:rsidP="00866E4E">
      <w:pPr>
        <w:pStyle w:val="NormalWeb"/>
        <w:rPr>
          <w:rFonts w:ascii="Arial" w:hAnsi="Arial" w:cs="Arial"/>
          <w:color w:val="000000"/>
          <w:sz w:val="20"/>
          <w:szCs w:val="20"/>
        </w:rPr>
      </w:pPr>
    </w:p>
    <w:p w:rsidR="00866E4E" w:rsidRPr="00470480" w:rsidRDefault="00866E4E" w:rsidP="00866E4E">
      <w:pPr>
        <w:pStyle w:val="NormalWeb"/>
        <w:rPr>
          <w:rFonts w:ascii="Arial" w:hAnsi="Arial" w:cs="Arial"/>
          <w:color w:val="000000"/>
          <w:sz w:val="20"/>
          <w:szCs w:val="20"/>
        </w:rPr>
      </w:pPr>
    </w:p>
    <w:p w:rsidR="00866E4E" w:rsidRPr="00470480" w:rsidRDefault="00866E4E" w:rsidP="00866E4E">
      <w:pPr>
        <w:pStyle w:val="NormalWeb"/>
        <w:rPr>
          <w:rFonts w:ascii="Arial" w:hAnsi="Arial" w:cs="Arial"/>
          <w:color w:val="000000"/>
          <w:sz w:val="20"/>
          <w:szCs w:val="20"/>
        </w:rPr>
      </w:pPr>
    </w:p>
    <w:p w:rsidR="00536CF8" w:rsidRDefault="00536CF8" w:rsidP="00BE4BD6">
      <w:pPr>
        <w:spacing w:after="0"/>
        <w:jc w:val="both"/>
        <w:rPr>
          <w:rFonts w:ascii="Arial" w:hAnsi="Arial" w:cs="Arial"/>
          <w:b/>
          <w:bCs/>
          <w:color w:val="000000"/>
          <w:sz w:val="20"/>
          <w:szCs w:val="20"/>
        </w:rPr>
      </w:pPr>
    </w:p>
    <w:p w:rsidR="00866E4E" w:rsidRPr="00470480" w:rsidRDefault="007D6A09"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Implementation of ‘Core Financial Services Solution’ by Non-Banking Financial Companies (NBFCs)</w:t>
      </w:r>
    </w:p>
    <w:p w:rsidR="007D6A09" w:rsidRPr="00470480" w:rsidRDefault="007D6A09" w:rsidP="00BE4BD6">
      <w:pPr>
        <w:spacing w:after="0"/>
        <w:jc w:val="both"/>
        <w:rPr>
          <w:rFonts w:ascii="Arial" w:hAnsi="Arial" w:cs="Arial"/>
          <w:b/>
          <w:bCs/>
          <w:color w:val="000000"/>
          <w:sz w:val="20"/>
          <w:szCs w:val="20"/>
        </w:rPr>
      </w:pPr>
    </w:p>
    <w:p w:rsidR="007F311D" w:rsidRDefault="007F311D"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r w:rsidRPr="00470480">
        <w:rPr>
          <w:rFonts w:ascii="Arial" w:hAnsi="Arial" w:cs="Arial"/>
          <w:color w:val="000000"/>
          <w:sz w:val="20"/>
          <w:szCs w:val="20"/>
        </w:rPr>
        <w:t>RBI/2021-22/175</w:t>
      </w:r>
      <w:r w:rsidRPr="00470480">
        <w:rPr>
          <w:rFonts w:ascii="Arial" w:hAnsi="Arial" w:cs="Arial"/>
          <w:color w:val="000000"/>
          <w:sz w:val="20"/>
          <w:szCs w:val="20"/>
        </w:rPr>
        <w:br/>
      </w:r>
      <w:proofErr w:type="spellStart"/>
      <w:r w:rsidRPr="00470480">
        <w:rPr>
          <w:rFonts w:ascii="Arial" w:hAnsi="Arial" w:cs="Arial"/>
          <w:color w:val="000000"/>
          <w:sz w:val="20"/>
          <w:szCs w:val="20"/>
        </w:rPr>
        <w:t>DoS.CO.PPG.SEC</w:t>
      </w:r>
      <w:proofErr w:type="spellEnd"/>
      <w:r w:rsidRPr="00470480">
        <w:rPr>
          <w:rFonts w:ascii="Arial" w:hAnsi="Arial" w:cs="Arial"/>
          <w:color w:val="000000"/>
          <w:sz w:val="20"/>
          <w:szCs w:val="20"/>
        </w:rPr>
        <w:t>/10/11.01.005/2021-22</w:t>
      </w:r>
    </w:p>
    <w:p w:rsidR="007D6A09" w:rsidRPr="00470480" w:rsidRDefault="007D6A09" w:rsidP="007D6A09">
      <w:pPr>
        <w:pStyle w:val="NormalWeb"/>
        <w:jc w:val="right"/>
        <w:rPr>
          <w:rFonts w:ascii="Arial" w:hAnsi="Arial" w:cs="Arial"/>
          <w:color w:val="000000"/>
          <w:sz w:val="20"/>
          <w:szCs w:val="20"/>
        </w:rPr>
      </w:pPr>
      <w:r w:rsidRPr="00470480">
        <w:rPr>
          <w:rFonts w:ascii="Arial" w:hAnsi="Arial" w:cs="Arial"/>
          <w:color w:val="000000"/>
          <w:sz w:val="20"/>
          <w:szCs w:val="20"/>
        </w:rPr>
        <w:t>February 23, 2022</w:t>
      </w:r>
    </w:p>
    <w:p w:rsidR="007D6A09" w:rsidRPr="00470480" w:rsidRDefault="007D6A09" w:rsidP="007D6A09">
      <w:pPr>
        <w:pStyle w:val="NormalWeb"/>
        <w:rPr>
          <w:rFonts w:ascii="Arial" w:hAnsi="Arial" w:cs="Arial"/>
          <w:color w:val="000000"/>
          <w:sz w:val="20"/>
          <w:szCs w:val="20"/>
        </w:rPr>
      </w:pPr>
      <w:r w:rsidRPr="00470480">
        <w:rPr>
          <w:rFonts w:ascii="Arial" w:hAnsi="Arial" w:cs="Arial"/>
          <w:color w:val="000000"/>
          <w:sz w:val="20"/>
          <w:szCs w:val="20"/>
        </w:rPr>
        <w:t>All Non-Banking Financial Companies</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7D6A09" w:rsidRPr="00470480" w:rsidRDefault="007D6A09" w:rsidP="007D6A09">
      <w:pPr>
        <w:pStyle w:val="head"/>
        <w:jc w:val="both"/>
        <w:rPr>
          <w:rFonts w:ascii="Arial" w:hAnsi="Arial" w:cs="Arial"/>
          <w:b/>
          <w:bCs/>
          <w:color w:val="000000"/>
          <w:sz w:val="20"/>
          <w:szCs w:val="20"/>
        </w:rPr>
      </w:pPr>
      <w:r w:rsidRPr="00470480">
        <w:rPr>
          <w:rFonts w:ascii="Arial" w:hAnsi="Arial" w:cs="Arial"/>
          <w:b/>
          <w:bCs/>
          <w:color w:val="000000"/>
          <w:sz w:val="20"/>
          <w:szCs w:val="20"/>
        </w:rPr>
        <w:t>Implementation of ‘Core Financial Services Solution’ by Non-Banking Financial Companies (NBFCs)</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A reference is invited to para 3.2.3 (j) of the </w:t>
      </w:r>
      <w:hyperlink r:id="rId276" w:tgtFrame="_blank" w:history="1">
        <w:r w:rsidRPr="00470480">
          <w:rPr>
            <w:rStyle w:val="Hyperlink"/>
            <w:rFonts w:ascii="Arial" w:hAnsi="Arial" w:cs="Arial"/>
            <w:sz w:val="20"/>
            <w:szCs w:val="20"/>
          </w:rPr>
          <w:t>Reserve Bank’s Circular Ref. DOR.CRE.REC.No.60/03.10.001/2021-22 dated October 22, 2021</w:t>
        </w:r>
      </w:hyperlink>
      <w:r w:rsidRPr="00470480">
        <w:rPr>
          <w:rFonts w:ascii="Arial" w:hAnsi="Arial" w:cs="Arial"/>
          <w:color w:val="000000"/>
          <w:sz w:val="20"/>
          <w:szCs w:val="20"/>
        </w:rPr>
        <w:t> on ‘Scale Based Regulation (SBR): A Revised Regulatory Framework for NBFCs’ in terms of which NBFCs with 10 and more branches are mandated to adopt Core Banking Solution.</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2. Accordingly, it has been decided that NBFCs – Middle Layer and NBFCs - Upper Layer with 10 and more ’Fixed point service delivery units’</w:t>
      </w:r>
      <w:hyperlink r:id="rId277"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as on October 1, 2022 shall be mandatorily required to implement ‘Core Financial Services Solution (CFSS)’, akin to the Core Banking Solution (CBS) adopted by banks. The CFSS shall provide for seamless customer interface in digital offerings and transactions relating to products and services with anywhere / anytime facility, enable integration of NBFCs’ functions, provide centralised database and accounting records, and be able to generate suitable MIS, both for internal purposes and regulatory reporting.</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3. The timeframe for implementation of the requirement as indicated in Para 2 above shall be as under:</w:t>
      </w:r>
    </w:p>
    <w:tbl>
      <w:tblPr>
        <w:tblW w:w="42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124"/>
        <w:gridCol w:w="4535"/>
      </w:tblGrid>
      <w:tr w:rsidR="007D6A09" w:rsidRPr="00470480" w:rsidTr="007D6A0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7D6A09" w:rsidRPr="00470480" w:rsidRDefault="007D6A09">
            <w:pPr>
              <w:jc w:val="center"/>
              <w:rPr>
                <w:rFonts w:ascii="Arial" w:hAnsi="Arial" w:cs="Arial"/>
                <w:b/>
                <w:bCs/>
                <w:color w:val="000000"/>
                <w:sz w:val="20"/>
                <w:szCs w:val="20"/>
              </w:rPr>
            </w:pPr>
            <w:r w:rsidRPr="00470480">
              <w:rPr>
                <w:rFonts w:ascii="Arial" w:hAnsi="Arial" w:cs="Arial"/>
                <w:b/>
                <w:bCs/>
                <w:color w:val="000000"/>
                <w:sz w:val="20"/>
                <w:szCs w:val="20"/>
              </w:rPr>
              <w:t>Category of NBFC</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7D6A09" w:rsidRPr="00470480" w:rsidRDefault="007D6A09">
            <w:pPr>
              <w:jc w:val="center"/>
              <w:rPr>
                <w:rFonts w:ascii="Arial" w:hAnsi="Arial" w:cs="Arial"/>
                <w:b/>
                <w:bCs/>
                <w:color w:val="000000"/>
                <w:sz w:val="20"/>
                <w:szCs w:val="20"/>
              </w:rPr>
            </w:pPr>
            <w:r w:rsidRPr="00470480">
              <w:rPr>
                <w:rFonts w:ascii="Arial" w:hAnsi="Arial" w:cs="Arial"/>
                <w:b/>
                <w:bCs/>
                <w:color w:val="000000"/>
                <w:sz w:val="20"/>
                <w:szCs w:val="20"/>
              </w:rPr>
              <w:t>Timeframe for implementation</w:t>
            </w:r>
          </w:p>
        </w:tc>
      </w:tr>
      <w:tr w:rsidR="007D6A09" w:rsidRPr="00470480" w:rsidTr="007D6A0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7D6A09" w:rsidRPr="00470480" w:rsidRDefault="007D6A09">
            <w:pPr>
              <w:jc w:val="both"/>
              <w:rPr>
                <w:rFonts w:ascii="Arial" w:hAnsi="Arial" w:cs="Arial"/>
                <w:color w:val="000000"/>
                <w:sz w:val="20"/>
                <w:szCs w:val="20"/>
              </w:rPr>
            </w:pPr>
            <w:r w:rsidRPr="00470480">
              <w:rPr>
                <w:rFonts w:ascii="Arial" w:hAnsi="Arial" w:cs="Arial"/>
                <w:color w:val="000000"/>
                <w:sz w:val="20"/>
                <w:szCs w:val="20"/>
              </w:rPr>
              <w:t>NBFC – Middle and Upper Layers with 10 or more ‘Fixed point service delivery units’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7D6A09" w:rsidRPr="00470480" w:rsidRDefault="007D6A09">
            <w:pPr>
              <w:jc w:val="both"/>
              <w:rPr>
                <w:rFonts w:ascii="Arial" w:hAnsi="Arial" w:cs="Arial"/>
                <w:color w:val="000000"/>
                <w:sz w:val="20"/>
                <w:szCs w:val="20"/>
              </w:rPr>
            </w:pPr>
            <w:r w:rsidRPr="00470480">
              <w:rPr>
                <w:rFonts w:ascii="Arial" w:hAnsi="Arial" w:cs="Arial"/>
                <w:color w:val="000000"/>
                <w:sz w:val="20"/>
                <w:szCs w:val="20"/>
              </w:rPr>
              <w:t>On or before September 30, 2025</w:t>
            </w:r>
            <w:r w:rsidRPr="00470480">
              <w:rPr>
                <w:rFonts w:ascii="Arial" w:hAnsi="Arial" w:cs="Arial"/>
                <w:color w:val="000000"/>
                <w:sz w:val="20"/>
                <w:szCs w:val="20"/>
              </w:rPr>
              <w:br/>
            </w:r>
            <w:r w:rsidRPr="00470480">
              <w:rPr>
                <w:rFonts w:ascii="Arial" w:hAnsi="Arial" w:cs="Arial"/>
                <w:color w:val="000000"/>
                <w:sz w:val="20"/>
                <w:szCs w:val="20"/>
              </w:rPr>
              <w:br/>
              <w:t>However, NBFC-UL shall ensure that the CFSS is implemented at least in 70 per cent of ‘Fixed point service delivery units’ on or before September 30, 2024.</w:t>
            </w:r>
          </w:p>
        </w:tc>
      </w:tr>
      <w:tr w:rsidR="007D6A09" w:rsidRPr="00470480" w:rsidTr="007D6A0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7D6A09" w:rsidRPr="00470480" w:rsidRDefault="007D6A09">
            <w:pPr>
              <w:jc w:val="both"/>
              <w:rPr>
                <w:rFonts w:ascii="Arial" w:hAnsi="Arial" w:cs="Arial"/>
                <w:color w:val="000000"/>
                <w:sz w:val="20"/>
                <w:szCs w:val="20"/>
              </w:rPr>
            </w:pPr>
            <w:r w:rsidRPr="00470480">
              <w:rPr>
                <w:rFonts w:ascii="Arial" w:hAnsi="Arial" w:cs="Arial"/>
                <w:color w:val="000000"/>
                <w:sz w:val="20"/>
                <w:szCs w:val="20"/>
              </w:rPr>
              <w:t>NBFC – Base Layer and NBFC – Middle and Upper Layers with fewer than 10 ’Fixed point service delivery units’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7D6A09" w:rsidRPr="00470480" w:rsidRDefault="007D6A09">
            <w:pPr>
              <w:jc w:val="both"/>
              <w:rPr>
                <w:rFonts w:ascii="Arial" w:hAnsi="Arial" w:cs="Arial"/>
                <w:color w:val="000000"/>
                <w:sz w:val="20"/>
                <w:szCs w:val="20"/>
              </w:rPr>
            </w:pPr>
            <w:r w:rsidRPr="00470480">
              <w:rPr>
                <w:rFonts w:ascii="Arial" w:hAnsi="Arial" w:cs="Arial"/>
                <w:color w:val="000000"/>
                <w:sz w:val="20"/>
                <w:szCs w:val="20"/>
              </w:rPr>
              <w:t>Not mandatory. However, they may consider implementation of a Core Financial Services Solution for their own benefit.</w:t>
            </w:r>
          </w:p>
        </w:tc>
      </w:tr>
    </w:tbl>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4. A quarterly progress report on implementation of the Core Financial Services Solution, along with various milestones as approved by the Board / Committee of the Board, shall be furnished by the NBFC to the Senior Supervisory Manager (SSM) Office of Reserve Bank starting from quarter ending March 31, 2023.</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5. This circular is issued under Sections 45L and 45M of Reserve Bank of India Act,1934.</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lastRenderedPageBreak/>
        <w:t>Yours faithfully,</w:t>
      </w:r>
    </w:p>
    <w:p w:rsidR="007D6A09" w:rsidRPr="00470480" w:rsidRDefault="007D6A09" w:rsidP="007D6A09">
      <w:pPr>
        <w:pStyle w:val="NormalWeb"/>
        <w:rPr>
          <w:rFonts w:ascii="Arial" w:hAnsi="Arial" w:cs="Arial"/>
          <w:color w:val="000000"/>
          <w:sz w:val="20"/>
          <w:szCs w:val="20"/>
        </w:rPr>
      </w:pPr>
      <w:r w:rsidRPr="00470480">
        <w:rPr>
          <w:rFonts w:ascii="Arial" w:hAnsi="Arial" w:cs="Arial"/>
          <w:color w:val="000000"/>
          <w:sz w:val="20"/>
          <w:szCs w:val="20"/>
        </w:rPr>
        <w:t>(Arnab Kumar Chowdhury)</w:t>
      </w:r>
      <w:r w:rsidRPr="00470480">
        <w:rPr>
          <w:rFonts w:ascii="Arial" w:hAnsi="Arial" w:cs="Arial"/>
          <w:color w:val="000000"/>
          <w:sz w:val="20"/>
          <w:szCs w:val="20"/>
        </w:rPr>
        <w:br/>
        <w:t>Chief General Manager</w:t>
      </w:r>
    </w:p>
    <w:p w:rsidR="007D6A09" w:rsidRPr="00470480" w:rsidRDefault="00536CF8" w:rsidP="00BE4BD6">
      <w:pPr>
        <w:spacing w:after="0"/>
        <w:jc w:val="both"/>
        <w:rPr>
          <w:rFonts w:ascii="Arial" w:hAnsi="Arial" w:cs="Arial"/>
          <w:sz w:val="20"/>
          <w:szCs w:val="20"/>
        </w:rPr>
      </w:pPr>
      <w:r>
        <w:rPr>
          <w:rFonts w:ascii="Arial" w:hAnsi="Arial" w:cs="Arial"/>
          <w:sz w:val="20"/>
          <w:szCs w:val="20"/>
        </w:rPr>
        <w:t xml:space="preserve">Reference Link: </w:t>
      </w:r>
      <w:hyperlink r:id="rId278" w:history="1">
        <w:r w:rsidR="007D6A09" w:rsidRPr="00470480">
          <w:rPr>
            <w:rStyle w:val="Hyperlink"/>
            <w:rFonts w:ascii="Arial" w:hAnsi="Arial" w:cs="Arial"/>
            <w:sz w:val="20"/>
            <w:szCs w:val="20"/>
          </w:rPr>
          <w:t>https://www.rbi.org.in/Scripts/NotificationUser.aspx?Id=12247&amp;Mode=0</w:t>
        </w:r>
      </w:hyperlink>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D6A09" w:rsidRPr="00470480" w:rsidRDefault="007D6A09" w:rsidP="00BE4BD6">
      <w:pPr>
        <w:spacing w:after="0"/>
        <w:jc w:val="both"/>
        <w:rPr>
          <w:rFonts w:ascii="Arial" w:hAnsi="Arial" w:cs="Arial"/>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7D6A09" w:rsidRPr="00470480" w:rsidRDefault="007D6A09"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Master Circular – Housing Finance</w:t>
      </w:r>
    </w:p>
    <w:p w:rsidR="007D6A09" w:rsidRPr="00470480" w:rsidRDefault="007D6A09" w:rsidP="00BE4BD6">
      <w:pPr>
        <w:spacing w:after="0"/>
        <w:jc w:val="both"/>
        <w:rPr>
          <w:rFonts w:ascii="Arial" w:hAnsi="Arial" w:cs="Arial"/>
          <w:b/>
          <w:bCs/>
          <w:color w:val="000000"/>
          <w:sz w:val="20"/>
          <w:szCs w:val="20"/>
        </w:rPr>
      </w:pP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RBI/2021-22/171</w:t>
      </w:r>
      <w:r w:rsidRPr="00470480">
        <w:rPr>
          <w:rFonts w:ascii="Arial" w:hAnsi="Arial" w:cs="Arial"/>
          <w:color w:val="000000"/>
          <w:sz w:val="20"/>
          <w:szCs w:val="20"/>
        </w:rPr>
        <w:br/>
        <w:t>DOR.CRE.REC.No.87/08.12.001/2021-22</w:t>
      </w:r>
    </w:p>
    <w:p w:rsidR="007D6A09" w:rsidRPr="00470480" w:rsidRDefault="007D6A09" w:rsidP="007D6A09">
      <w:pPr>
        <w:pStyle w:val="NormalWeb"/>
        <w:jc w:val="right"/>
        <w:rPr>
          <w:rFonts w:ascii="Arial" w:hAnsi="Arial" w:cs="Arial"/>
          <w:color w:val="000000"/>
          <w:sz w:val="20"/>
          <w:szCs w:val="20"/>
        </w:rPr>
      </w:pPr>
      <w:r w:rsidRPr="00470480">
        <w:rPr>
          <w:rFonts w:ascii="Arial" w:hAnsi="Arial" w:cs="Arial"/>
          <w:color w:val="000000"/>
          <w:sz w:val="20"/>
          <w:szCs w:val="20"/>
        </w:rPr>
        <w:t>February 18, 2022</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All Scheduled Commercial Banks (excluding RRBs)</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7D6A09" w:rsidRPr="00470480" w:rsidRDefault="007D6A09" w:rsidP="007D6A09">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Housing Finance</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79" w:tgtFrame="_blank" w:history="1">
        <w:r w:rsidRPr="00470480">
          <w:rPr>
            <w:rStyle w:val="Hyperlink"/>
            <w:rFonts w:ascii="Arial" w:hAnsi="Arial" w:cs="Arial"/>
            <w:sz w:val="20"/>
            <w:szCs w:val="20"/>
          </w:rPr>
          <w:t>Master Circular DBR.No.DIR.BC.13/08.12.001/2015-16 dated July 1, 2015</w:t>
        </w:r>
      </w:hyperlink>
      <w:r w:rsidRPr="00470480">
        <w:rPr>
          <w:rFonts w:ascii="Arial" w:hAnsi="Arial" w:cs="Arial"/>
          <w:color w:val="000000"/>
          <w:sz w:val="20"/>
          <w:szCs w:val="20"/>
        </w:rPr>
        <w:t> consolidating the instructions / guidelines issued to banks till June 30, 2015 relating to Housing Finance. This </w:t>
      </w:r>
      <w:hyperlink r:id="rId280"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 issued up to February 17, 2022.</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D6A09" w:rsidRPr="00470480" w:rsidRDefault="007D6A09" w:rsidP="007D6A09">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536CF8" w:rsidRDefault="00536CF8" w:rsidP="00536CF8">
      <w:pPr>
        <w:pStyle w:val="NormalWeb"/>
        <w:spacing w:before="0" w:beforeAutospacing="0"/>
        <w:rPr>
          <w:rFonts w:ascii="Arial" w:hAnsi="Arial" w:cs="Arial"/>
          <w:color w:val="000000"/>
          <w:sz w:val="20"/>
          <w:szCs w:val="20"/>
        </w:rPr>
      </w:pPr>
    </w:p>
    <w:p w:rsidR="007D6A09" w:rsidRPr="00470480" w:rsidRDefault="00595AE9" w:rsidP="00536CF8">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For the detailed Master Circular, refer to the link below.</w:t>
      </w:r>
    </w:p>
    <w:p w:rsidR="007D6A09" w:rsidRPr="00470480" w:rsidRDefault="007D6A09" w:rsidP="00536CF8">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281" w:history="1">
        <w:r w:rsidRPr="00470480">
          <w:rPr>
            <w:rStyle w:val="Hyperlink"/>
            <w:rFonts w:ascii="Arial" w:hAnsi="Arial" w:cs="Arial"/>
            <w:sz w:val="20"/>
            <w:szCs w:val="20"/>
          </w:rPr>
          <w:t>https://www.rbi.org.in/Scripts/NotificationUser.aspx?Id=12243&amp;Mode=0</w:t>
        </w:r>
      </w:hyperlink>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595AE9" w:rsidRDefault="00595AE9" w:rsidP="007D6A09">
      <w:pPr>
        <w:pStyle w:val="NormalWeb"/>
        <w:rPr>
          <w:rFonts w:ascii="Arial" w:hAnsi="Arial" w:cs="Arial"/>
          <w:b/>
          <w:bCs/>
          <w:color w:val="000000"/>
          <w:sz w:val="20"/>
          <w:szCs w:val="20"/>
        </w:rPr>
      </w:pPr>
    </w:p>
    <w:p w:rsidR="007D6A09" w:rsidRPr="00470480" w:rsidRDefault="007D6A09" w:rsidP="007D6A09">
      <w:pPr>
        <w:pStyle w:val="NormalWeb"/>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RBI/2021-2022/161</w:t>
      </w:r>
      <w:r w:rsidRPr="00470480">
        <w:rPr>
          <w:rFonts w:ascii="Arial" w:hAnsi="Arial" w:cs="Arial"/>
          <w:color w:val="000000"/>
          <w:sz w:val="20"/>
          <w:szCs w:val="20"/>
        </w:rPr>
        <w:br/>
        <w:t>FIDD.MSME &amp; NFS.BC.No.16/06.02.31/2021-22</w:t>
      </w:r>
    </w:p>
    <w:p w:rsidR="007D6A09" w:rsidRPr="00470480" w:rsidRDefault="007D6A09" w:rsidP="007D6A09">
      <w:pPr>
        <w:pStyle w:val="NormalWeb"/>
        <w:jc w:val="right"/>
        <w:rPr>
          <w:rFonts w:ascii="Arial" w:hAnsi="Arial" w:cs="Arial"/>
          <w:color w:val="000000"/>
          <w:sz w:val="20"/>
          <w:szCs w:val="20"/>
        </w:rPr>
      </w:pPr>
      <w:r w:rsidRPr="00470480">
        <w:rPr>
          <w:rFonts w:ascii="Arial" w:hAnsi="Arial" w:cs="Arial"/>
          <w:color w:val="000000"/>
          <w:sz w:val="20"/>
          <w:szCs w:val="20"/>
        </w:rPr>
        <w:t>February 18, 2022</w:t>
      </w:r>
    </w:p>
    <w:p w:rsidR="007D6A09" w:rsidRPr="00470480" w:rsidRDefault="007D6A09" w:rsidP="007D6A09">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Commercial Banks</w:t>
      </w:r>
      <w:r w:rsidRPr="00470480">
        <w:rPr>
          <w:rFonts w:ascii="Arial" w:hAnsi="Arial" w:cs="Arial"/>
          <w:color w:val="000000"/>
          <w:sz w:val="20"/>
          <w:szCs w:val="20"/>
        </w:rPr>
        <w:br/>
        <w:t>(including Small Finance Banks, Local Area Banks and Regional Rural Banks)</w:t>
      </w:r>
      <w:r w:rsidRPr="00470480">
        <w:rPr>
          <w:rFonts w:ascii="Arial" w:hAnsi="Arial" w:cs="Arial"/>
          <w:color w:val="000000"/>
          <w:sz w:val="20"/>
          <w:szCs w:val="20"/>
        </w:rPr>
        <w:br/>
        <w:t>All Primary (Urban) Co-operative Banks/State Co-operative Banks/</w:t>
      </w:r>
      <w:r w:rsidRPr="00470480">
        <w:rPr>
          <w:rFonts w:ascii="Arial" w:hAnsi="Arial" w:cs="Arial"/>
          <w:color w:val="000000"/>
          <w:sz w:val="20"/>
          <w:szCs w:val="20"/>
        </w:rPr>
        <w:br/>
        <w:t>District Central Co-operative Banks /All-India Financial Institutions/</w:t>
      </w:r>
      <w:r w:rsidRPr="00470480">
        <w:rPr>
          <w:rFonts w:ascii="Arial" w:hAnsi="Arial" w:cs="Arial"/>
          <w:color w:val="000000"/>
          <w:sz w:val="20"/>
          <w:szCs w:val="20"/>
        </w:rPr>
        <w:br/>
        <w:t>All Non-Banking Financial Companies</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7D6A09" w:rsidRPr="00470480" w:rsidRDefault="007D6A09" w:rsidP="007D6A09">
      <w:pPr>
        <w:pStyle w:val="head"/>
        <w:jc w:val="both"/>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82" w:tgtFrame="_blank" w:history="1">
        <w:r w:rsidRPr="00470480">
          <w:rPr>
            <w:rStyle w:val="Hyperlink"/>
            <w:rFonts w:ascii="Arial" w:hAnsi="Arial" w:cs="Arial"/>
            <w:sz w:val="20"/>
            <w:szCs w:val="20"/>
          </w:rPr>
          <w:t>circular FIDD.MSME &amp; NFS.BC.No.12/06.02.31/2021-22 dated June 25, 2021</w:t>
        </w:r>
      </w:hyperlink>
      <w:r w:rsidRPr="00470480">
        <w:rPr>
          <w:rFonts w:ascii="Arial" w:hAnsi="Arial" w:cs="Arial"/>
          <w:color w:val="000000"/>
          <w:sz w:val="20"/>
          <w:szCs w:val="20"/>
        </w:rPr>
        <w:t> on ‘New Definition of Micro, Small and Medium Enterprises’.</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2. In this connection, we inform that Government of India, vide their </w:t>
      </w:r>
      <w:hyperlink r:id="rId283" w:tgtFrame="_blank" w:history="1">
        <w:r w:rsidRPr="00470480">
          <w:rPr>
            <w:rStyle w:val="Hyperlink"/>
            <w:rFonts w:ascii="Arial" w:hAnsi="Arial" w:cs="Arial"/>
            <w:sz w:val="20"/>
            <w:szCs w:val="20"/>
          </w:rPr>
          <w:t>Gazette Notification S.O. 278(E) dated January 19, 2022</w:t>
        </w:r>
      </w:hyperlink>
      <w:r w:rsidRPr="00470480">
        <w:rPr>
          <w:rFonts w:ascii="Arial" w:hAnsi="Arial" w:cs="Arial"/>
          <w:color w:val="000000"/>
          <w:sz w:val="20"/>
          <w:szCs w:val="20"/>
        </w:rPr>
        <w:t>, has notified amendments in the paragraph (7) sub-paragraph (3) in the notification of Government of India, Ministry of Micro, Small and Medium Enterprises number </w:t>
      </w:r>
      <w:hyperlink r:id="rId284" w:tgtFrame="_blank" w:history="1">
        <w:r w:rsidRPr="00470480">
          <w:rPr>
            <w:rStyle w:val="Hyperlink"/>
            <w:rFonts w:ascii="Arial" w:hAnsi="Arial" w:cs="Arial"/>
            <w:sz w:val="20"/>
            <w:szCs w:val="20"/>
          </w:rPr>
          <w:t>S.O. 2119 (E), dated June 26, 2020</w:t>
        </w:r>
      </w:hyperlink>
      <w:r w:rsidRPr="00470480">
        <w:rPr>
          <w:rFonts w:ascii="Arial" w:hAnsi="Arial" w:cs="Arial"/>
          <w:color w:val="000000"/>
          <w:sz w:val="20"/>
          <w:szCs w:val="20"/>
        </w:rPr>
        <w:t>, published in the Gazette of India.</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3. In view of the above amendment, paragraph 3 of the said circular would stand modified as under:</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 xml:space="preserve">“The existing Entrepreneurs Memorandum (EM) Part II and </w:t>
      </w:r>
      <w:proofErr w:type="spellStart"/>
      <w:r w:rsidRPr="00470480">
        <w:rPr>
          <w:rFonts w:ascii="Arial" w:hAnsi="Arial" w:cs="Arial"/>
          <w:color w:val="000000"/>
          <w:sz w:val="20"/>
          <w:szCs w:val="20"/>
        </w:rPr>
        <w:t>Udyog</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Aadhaar</w:t>
      </w:r>
      <w:proofErr w:type="spellEnd"/>
      <w:r w:rsidRPr="00470480">
        <w:rPr>
          <w:rFonts w:ascii="Arial" w:hAnsi="Arial" w:cs="Arial"/>
          <w:color w:val="000000"/>
          <w:sz w:val="20"/>
          <w:szCs w:val="20"/>
        </w:rPr>
        <w:t xml:space="preserve"> Memorandum (UAMs) of the MSMEs obtained till June 30, 2020 shall remain valid till March 31, 2022.”</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4. Further, it is clarified that the validity of documents obtained in terms of O.M. No.12(4)/ 2017-SME dated March 8, 2017 (</w:t>
      </w:r>
      <w:hyperlink r:id="rId285" w:tgtFrame="_blank" w:history="1">
        <w:r w:rsidRPr="00470480">
          <w:rPr>
            <w:rStyle w:val="Hyperlink"/>
            <w:rFonts w:ascii="Arial" w:hAnsi="Arial" w:cs="Arial"/>
            <w:sz w:val="20"/>
            <w:szCs w:val="20"/>
          </w:rPr>
          <w:t>RBI Circular FIDD.MSME &amp; NFS.BC.No.10/06.02.31/2017-18 dated July 13, 2017</w:t>
        </w:r>
      </w:hyperlink>
      <w:r w:rsidRPr="00470480">
        <w:rPr>
          <w:rFonts w:ascii="Arial" w:hAnsi="Arial" w:cs="Arial"/>
          <w:color w:val="000000"/>
          <w:sz w:val="20"/>
          <w:szCs w:val="20"/>
        </w:rPr>
        <w:t xml:space="preserve">), for classification of MSMEs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2020, are also valid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March 31, 2022.</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5. All other provisions of the circular remain unchanged.</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D6A09" w:rsidRPr="00470480" w:rsidRDefault="007D6A09" w:rsidP="007D6A09">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Sonali</w:t>
      </w:r>
      <w:proofErr w:type="spellEnd"/>
      <w:r w:rsidRPr="00470480">
        <w:rPr>
          <w:rFonts w:ascii="Arial" w:hAnsi="Arial" w:cs="Arial"/>
          <w:color w:val="000000"/>
          <w:sz w:val="20"/>
          <w:szCs w:val="20"/>
        </w:rPr>
        <w:t xml:space="preserve"> Sen Gupta)</w:t>
      </w:r>
      <w:r w:rsidRPr="00470480">
        <w:rPr>
          <w:rFonts w:ascii="Arial" w:hAnsi="Arial" w:cs="Arial"/>
          <w:color w:val="000000"/>
          <w:sz w:val="20"/>
          <w:szCs w:val="20"/>
        </w:rPr>
        <w:br/>
        <w:t>Chief General Manager-in-Charge</w:t>
      </w:r>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86" w:history="1">
        <w:r w:rsidRPr="00470480">
          <w:rPr>
            <w:rStyle w:val="Hyperlink"/>
            <w:rFonts w:ascii="Arial" w:hAnsi="Arial" w:cs="Arial"/>
            <w:sz w:val="20"/>
            <w:szCs w:val="20"/>
          </w:rPr>
          <w:t>https://www.rbi.org.in/Scripts/NotificationUser.aspx?Id=12233&amp;Mode=0</w:t>
        </w:r>
      </w:hyperlink>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595AE9" w:rsidRDefault="00595AE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RBI/2021-2022/158</w:t>
      </w:r>
      <w:r w:rsidRPr="00470480">
        <w:rPr>
          <w:rFonts w:ascii="Arial" w:hAnsi="Arial" w:cs="Arial"/>
          <w:color w:val="000000"/>
          <w:sz w:val="20"/>
          <w:szCs w:val="20"/>
        </w:rPr>
        <w:br/>
        <w:t>DOR.STR.REC.85/21.04.048/2021-22</w:t>
      </w:r>
    </w:p>
    <w:p w:rsidR="007D6A09" w:rsidRPr="00470480" w:rsidRDefault="007D6A09" w:rsidP="007D6A09">
      <w:pPr>
        <w:pStyle w:val="NormalWeb"/>
        <w:jc w:val="right"/>
        <w:rPr>
          <w:rFonts w:ascii="Arial" w:hAnsi="Arial" w:cs="Arial"/>
          <w:color w:val="000000"/>
          <w:sz w:val="20"/>
          <w:szCs w:val="20"/>
        </w:rPr>
      </w:pPr>
      <w:r w:rsidRPr="00470480">
        <w:rPr>
          <w:rFonts w:ascii="Arial" w:hAnsi="Arial" w:cs="Arial"/>
          <w:color w:val="000000"/>
          <w:sz w:val="20"/>
          <w:szCs w:val="20"/>
        </w:rPr>
        <w:t>February 15, 2022</w:t>
      </w:r>
    </w:p>
    <w:p w:rsidR="007D6A09" w:rsidRPr="00470480" w:rsidRDefault="007D6A09" w:rsidP="007D6A09">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 Local Area Banks and Regional Rural Banks) excluding Payments Banks</w:t>
      </w:r>
      <w:r w:rsidRPr="00470480">
        <w:rPr>
          <w:rFonts w:ascii="Arial" w:hAnsi="Arial" w:cs="Arial"/>
          <w:color w:val="000000"/>
          <w:sz w:val="20"/>
          <w:szCs w:val="20"/>
        </w:rPr>
        <w:br/>
        <w:t>All Primary (Urban) Co-operative Banks/State Co-operative Banks/District Central Co-operative Banks</w:t>
      </w:r>
      <w:r w:rsidRPr="00470480">
        <w:rPr>
          <w:rFonts w:ascii="Arial" w:hAnsi="Arial" w:cs="Arial"/>
          <w:color w:val="000000"/>
          <w:sz w:val="20"/>
          <w:szCs w:val="20"/>
        </w:rPr>
        <w:br/>
        <w:t>All-India Financial Institutions (Exim Bank, NABARD, NHB and SIDBI)</w:t>
      </w:r>
      <w:r w:rsidRPr="00470480">
        <w:rPr>
          <w:rFonts w:ascii="Arial" w:hAnsi="Arial" w:cs="Arial"/>
          <w:color w:val="000000"/>
          <w:sz w:val="20"/>
          <w:szCs w:val="20"/>
        </w:rPr>
        <w:br/>
        <w:t>All Non-Banking Financial Companies (including Housing Finance Companies)</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7D6A09" w:rsidRPr="00470480" w:rsidRDefault="007D6A09" w:rsidP="007D6A09">
      <w:pPr>
        <w:pStyle w:val="head"/>
        <w:jc w:val="both"/>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Please refer to the clarifications issued in respect of </w:t>
      </w:r>
      <w:r w:rsidRPr="00470480">
        <w:rPr>
          <w:rStyle w:val="head1"/>
          <w:rFonts w:ascii="Arial" w:hAnsi="Arial" w:cs="Arial"/>
          <w:b/>
          <w:bCs/>
          <w:color w:val="000000"/>
          <w:sz w:val="20"/>
          <w:szCs w:val="20"/>
        </w:rPr>
        <w:t>Prudential norms on Income Recognition, Asset Classification and Provisioning</w:t>
      </w:r>
      <w:r w:rsidRPr="00470480">
        <w:rPr>
          <w:rFonts w:ascii="Arial" w:hAnsi="Arial" w:cs="Arial"/>
          <w:color w:val="000000"/>
          <w:sz w:val="20"/>
          <w:szCs w:val="20"/>
        </w:rPr>
        <w:t> vide </w:t>
      </w:r>
      <w:hyperlink r:id="rId287" w:tgtFrame="_blank" w:history="1">
        <w:r w:rsidRPr="00470480">
          <w:rPr>
            <w:rStyle w:val="Hyperlink"/>
            <w:rFonts w:ascii="Arial" w:hAnsi="Arial" w:cs="Arial"/>
            <w:sz w:val="20"/>
            <w:szCs w:val="20"/>
          </w:rPr>
          <w:t>circular DOR.STR.REC.68/21.04.048/2021-22 dated November 12, 2021</w:t>
        </w:r>
      </w:hyperlink>
      <w:r w:rsidRPr="00470480">
        <w:rPr>
          <w:rFonts w:ascii="Arial" w:hAnsi="Arial" w:cs="Arial"/>
          <w:color w:val="000000"/>
          <w:sz w:val="20"/>
          <w:szCs w:val="20"/>
        </w:rPr>
        <w:t> (‘</w:t>
      </w:r>
      <w:r w:rsidRPr="00470480">
        <w:rPr>
          <w:rStyle w:val="head1"/>
          <w:rFonts w:ascii="Arial" w:hAnsi="Arial" w:cs="Arial"/>
          <w:b/>
          <w:bCs/>
          <w:color w:val="000000"/>
          <w:sz w:val="20"/>
          <w:szCs w:val="20"/>
        </w:rPr>
        <w:t>Circular</w:t>
      </w:r>
      <w:r w:rsidRPr="00470480">
        <w:rPr>
          <w:rFonts w:ascii="Arial" w:hAnsi="Arial" w:cs="Arial"/>
          <w:color w:val="000000"/>
          <w:sz w:val="20"/>
          <w:szCs w:val="20"/>
        </w:rPr>
        <w:t>’).</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2. In view of several queries received seeking certain clarifications, it is advised as under:</w:t>
      </w:r>
    </w:p>
    <w:p w:rsidR="007D6A09" w:rsidRPr="00470480" w:rsidRDefault="007D6A09" w:rsidP="007D6A09">
      <w:pPr>
        <w:pStyle w:val="NormalWeb"/>
        <w:numPr>
          <w:ilvl w:val="0"/>
          <w:numId w:val="146"/>
        </w:numPr>
        <w:ind w:left="0"/>
        <w:jc w:val="both"/>
        <w:rPr>
          <w:rFonts w:ascii="Arial" w:hAnsi="Arial" w:cs="Arial"/>
          <w:color w:val="000000"/>
          <w:sz w:val="20"/>
          <w:szCs w:val="20"/>
        </w:rPr>
      </w:pPr>
      <w:r w:rsidRPr="00470480">
        <w:rPr>
          <w:rFonts w:ascii="Arial" w:hAnsi="Arial" w:cs="Arial"/>
          <w:color w:val="000000"/>
          <w:sz w:val="20"/>
          <w:szCs w:val="20"/>
        </w:rPr>
        <w:t>The definition of ‘out of order’, as clarified in the Circular, shall be applicable to all loan products being offered as an overdraft facility, including those not meant for business purposes and/or which entail interest repayments as the only credits.</w:t>
      </w:r>
    </w:p>
    <w:p w:rsidR="007D6A09" w:rsidRPr="00470480" w:rsidRDefault="007D6A09" w:rsidP="007D6A09">
      <w:pPr>
        <w:pStyle w:val="NormalWeb"/>
        <w:numPr>
          <w:ilvl w:val="0"/>
          <w:numId w:val="146"/>
        </w:numPr>
        <w:ind w:left="0"/>
        <w:jc w:val="both"/>
        <w:rPr>
          <w:rFonts w:ascii="Arial" w:hAnsi="Arial" w:cs="Arial"/>
          <w:color w:val="000000"/>
          <w:sz w:val="20"/>
          <w:szCs w:val="20"/>
        </w:rPr>
      </w:pPr>
      <w:r w:rsidRPr="00470480">
        <w:rPr>
          <w:rFonts w:ascii="Arial" w:hAnsi="Arial" w:cs="Arial"/>
          <w:color w:val="000000"/>
          <w:sz w:val="20"/>
          <w:szCs w:val="20"/>
        </w:rPr>
        <w:t xml:space="preserve">The ‘previous 90 </w:t>
      </w:r>
      <w:proofErr w:type="gramStart"/>
      <w:r w:rsidRPr="00470480">
        <w:rPr>
          <w:rFonts w:ascii="Arial" w:hAnsi="Arial" w:cs="Arial"/>
          <w:color w:val="000000"/>
          <w:sz w:val="20"/>
          <w:szCs w:val="20"/>
        </w:rPr>
        <w:t>days</w:t>
      </w:r>
      <w:proofErr w:type="gramEnd"/>
      <w:r w:rsidRPr="00470480">
        <w:rPr>
          <w:rFonts w:ascii="Arial" w:hAnsi="Arial" w:cs="Arial"/>
          <w:color w:val="000000"/>
          <w:sz w:val="20"/>
          <w:szCs w:val="20"/>
        </w:rPr>
        <w:t xml:space="preserve"> period’ for determination of ‘out of order’ status of a CC/OD account shall be inclusive of the day for which the day-end process is being run.</w:t>
      </w:r>
    </w:p>
    <w:p w:rsidR="007D6A09" w:rsidRPr="00470480" w:rsidRDefault="007D6A09" w:rsidP="007D6A09">
      <w:pPr>
        <w:pStyle w:val="NormalWeb"/>
        <w:numPr>
          <w:ilvl w:val="0"/>
          <w:numId w:val="146"/>
        </w:numPr>
        <w:ind w:left="0"/>
        <w:jc w:val="both"/>
        <w:rPr>
          <w:rFonts w:ascii="Arial" w:hAnsi="Arial" w:cs="Arial"/>
          <w:color w:val="000000"/>
          <w:sz w:val="20"/>
          <w:szCs w:val="20"/>
        </w:rPr>
      </w:pPr>
      <w:r w:rsidRPr="00470480">
        <w:rPr>
          <w:rFonts w:ascii="Arial" w:hAnsi="Arial" w:cs="Arial"/>
          <w:color w:val="000000"/>
          <w:sz w:val="20"/>
          <w:szCs w:val="20"/>
        </w:rPr>
        <w:t>In case of borrowers having more than one credit facility from a lending institution, loan accounts shall be upgraded from NPA to standard asset category only upon repayment of entire arrears of interest and principal pertaining to all the credit facilities.</w:t>
      </w:r>
    </w:p>
    <w:p w:rsidR="007D6A09" w:rsidRPr="00470480" w:rsidRDefault="007D6A09" w:rsidP="007D6A09">
      <w:pPr>
        <w:pStyle w:val="NormalWeb"/>
        <w:numPr>
          <w:ilvl w:val="0"/>
          <w:numId w:val="146"/>
        </w:numPr>
        <w:ind w:left="0"/>
        <w:jc w:val="both"/>
        <w:rPr>
          <w:rFonts w:ascii="Arial" w:hAnsi="Arial" w:cs="Arial"/>
          <w:color w:val="000000"/>
          <w:sz w:val="20"/>
          <w:szCs w:val="20"/>
        </w:rPr>
      </w:pPr>
      <w:r w:rsidRPr="00470480">
        <w:rPr>
          <w:rFonts w:ascii="Arial" w:hAnsi="Arial" w:cs="Arial"/>
          <w:color w:val="000000"/>
          <w:sz w:val="20"/>
          <w:szCs w:val="20"/>
        </w:rPr>
        <w:t>The circular does not make any changes to the requirements related to reporting of information to CRILC, which will continue to be governed in terms of extant instructions for respective entities</w:t>
      </w:r>
      <w:hyperlink r:id="rId288" w:anchor="FN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w:t>
      </w:r>
    </w:p>
    <w:p w:rsidR="007D6A09" w:rsidRPr="00470480" w:rsidRDefault="007D6A09" w:rsidP="007D6A09">
      <w:pPr>
        <w:pStyle w:val="NormalWeb"/>
        <w:numPr>
          <w:ilvl w:val="0"/>
          <w:numId w:val="146"/>
        </w:numPr>
        <w:ind w:left="0"/>
        <w:jc w:val="both"/>
        <w:rPr>
          <w:rFonts w:ascii="Arial" w:hAnsi="Arial" w:cs="Arial"/>
          <w:color w:val="000000"/>
          <w:sz w:val="20"/>
          <w:szCs w:val="20"/>
        </w:rPr>
      </w:pPr>
      <w:r w:rsidRPr="00470480">
        <w:rPr>
          <w:rFonts w:ascii="Arial" w:hAnsi="Arial" w:cs="Arial"/>
          <w:color w:val="000000"/>
          <w:sz w:val="20"/>
          <w:szCs w:val="20"/>
        </w:rPr>
        <w:t xml:space="preserve">The circular does not, in any way, interfere with the extant guidelines on implementation of </w:t>
      </w:r>
      <w:proofErr w:type="spellStart"/>
      <w:r w:rsidRPr="00470480">
        <w:rPr>
          <w:rFonts w:ascii="Arial" w:hAnsi="Arial" w:cs="Arial"/>
          <w:color w:val="000000"/>
          <w:sz w:val="20"/>
          <w:szCs w:val="20"/>
        </w:rPr>
        <w:t>Ind</w:t>
      </w:r>
      <w:proofErr w:type="spellEnd"/>
      <w:r w:rsidRPr="00470480">
        <w:rPr>
          <w:rFonts w:ascii="Arial" w:hAnsi="Arial" w:cs="Arial"/>
          <w:color w:val="000000"/>
          <w:sz w:val="20"/>
          <w:szCs w:val="20"/>
        </w:rPr>
        <w:t>-AS by NBFCs.</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3. Paragraph 10 of the Circular stipulates that loan accounts classified as NPAs may be upgraded as ‘standard’ asset only if entire arrears of interest and principal are paid by the borrower. NBFCs shall have time till September 30, 2022 to put in place the necessary systems to implement this provision. All other instructions of the Circular shall continue to be applicable as per the timelines specified therein.</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536CF8" w:rsidRDefault="007D6A09" w:rsidP="007D6A09">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w:t>
      </w:r>
      <w:r w:rsidR="00536CF8">
        <w:rPr>
          <w:rFonts w:ascii="Arial" w:hAnsi="Arial" w:cs="Arial"/>
          <w:color w:val="000000"/>
          <w:sz w:val="20"/>
          <w:szCs w:val="20"/>
        </w:rPr>
        <w:t>n</w:t>
      </w:r>
      <w:proofErr w:type="spellEnd"/>
      <w:r w:rsidR="00536CF8">
        <w:rPr>
          <w:rFonts w:ascii="Arial" w:hAnsi="Arial" w:cs="Arial"/>
          <w:color w:val="000000"/>
          <w:sz w:val="20"/>
          <w:szCs w:val="20"/>
        </w:rPr>
        <w:t xml:space="preserve"> Mishra)</w:t>
      </w:r>
      <w:r w:rsidR="00536CF8">
        <w:rPr>
          <w:rFonts w:ascii="Arial" w:hAnsi="Arial" w:cs="Arial"/>
          <w:color w:val="000000"/>
          <w:sz w:val="20"/>
          <w:szCs w:val="20"/>
        </w:rPr>
        <w:br/>
        <w:t>Chief General Manager</w:t>
      </w:r>
    </w:p>
    <w:p w:rsidR="00536CF8" w:rsidRDefault="00536CF8"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89" w:history="1">
        <w:r w:rsidRPr="00470480">
          <w:rPr>
            <w:rStyle w:val="Hyperlink"/>
            <w:rFonts w:ascii="Arial" w:hAnsi="Arial" w:cs="Arial"/>
            <w:sz w:val="20"/>
            <w:szCs w:val="20"/>
          </w:rPr>
          <w:t>https://www.rbi.org.in/Scripts/NotificationUser.aspx?Id=12230&amp;Mode=0</w:t>
        </w:r>
      </w:hyperlink>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7D6A09" w:rsidRPr="00470480" w:rsidRDefault="007D6A09" w:rsidP="007D6A09">
      <w:pPr>
        <w:pStyle w:val="NormalWeb"/>
        <w:rPr>
          <w:rFonts w:ascii="Arial" w:hAnsi="Arial" w:cs="Arial"/>
          <w:color w:val="000000"/>
          <w:sz w:val="20"/>
          <w:szCs w:val="20"/>
        </w:rPr>
      </w:pPr>
    </w:p>
    <w:p w:rsidR="007D6A09" w:rsidRPr="00470480" w:rsidRDefault="007D6A09"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Rupee Interest Rate Derivatives (Reserve Bank) Directions – Review</w:t>
      </w:r>
    </w:p>
    <w:p w:rsidR="007D6A09" w:rsidRPr="00470480" w:rsidRDefault="007D6A09" w:rsidP="00BE4BD6">
      <w:pPr>
        <w:spacing w:after="0"/>
        <w:jc w:val="both"/>
        <w:rPr>
          <w:rFonts w:ascii="Arial" w:hAnsi="Arial" w:cs="Arial"/>
          <w:b/>
          <w:bCs/>
          <w:color w:val="000000"/>
          <w:sz w:val="20"/>
          <w:szCs w:val="20"/>
        </w:rPr>
      </w:pP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RBI/2021-22/157</w:t>
      </w:r>
      <w:r w:rsidRPr="00470480">
        <w:rPr>
          <w:rFonts w:ascii="Arial" w:hAnsi="Arial" w:cs="Arial"/>
          <w:color w:val="000000"/>
          <w:sz w:val="20"/>
          <w:szCs w:val="20"/>
        </w:rPr>
        <w:br/>
        <w:t>FMRD.DIRD.12/14.03.046/2021-22</w:t>
      </w:r>
    </w:p>
    <w:p w:rsidR="007D6A09" w:rsidRPr="00470480" w:rsidRDefault="007D6A09" w:rsidP="007D6A09">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To,</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All Eligible Market Participants</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7D6A09" w:rsidRPr="00470480" w:rsidRDefault="007D6A09" w:rsidP="007D6A09">
      <w:pPr>
        <w:pStyle w:val="head"/>
        <w:jc w:val="center"/>
        <w:rPr>
          <w:rFonts w:ascii="Arial" w:hAnsi="Arial" w:cs="Arial"/>
          <w:b/>
          <w:bCs/>
          <w:color w:val="000000"/>
          <w:sz w:val="20"/>
          <w:szCs w:val="20"/>
        </w:rPr>
      </w:pPr>
      <w:r w:rsidRPr="00470480">
        <w:rPr>
          <w:rFonts w:ascii="Arial" w:hAnsi="Arial" w:cs="Arial"/>
          <w:b/>
          <w:bCs/>
          <w:color w:val="000000"/>
          <w:sz w:val="20"/>
          <w:szCs w:val="20"/>
        </w:rPr>
        <w:t>Rupee Interest Rate Derivatives (Reserve Bank) Directions - Review</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5 of the </w:t>
      </w:r>
      <w:hyperlink r:id="rId290"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issued as a part of the </w:t>
      </w:r>
      <w:hyperlink r:id="rId291" w:tgtFrame="_blank" w:history="1">
        <w:r w:rsidRPr="00470480">
          <w:rPr>
            <w:rStyle w:val="Hyperlink"/>
            <w:rFonts w:ascii="Arial" w:hAnsi="Arial" w:cs="Arial"/>
            <w:sz w:val="20"/>
            <w:szCs w:val="20"/>
          </w:rPr>
          <w:t>sixth Bi-monthly Monetary Policy Statement for 2021-22 dated February 10, 2022</w:t>
        </w:r>
      </w:hyperlink>
      <w:r w:rsidRPr="00470480">
        <w:rPr>
          <w:rFonts w:ascii="Arial" w:hAnsi="Arial" w:cs="Arial"/>
          <w:color w:val="000000"/>
          <w:sz w:val="20"/>
          <w:szCs w:val="20"/>
        </w:rPr>
        <w:t> regarding permitting banks in India to deal in foreign currency settled Overnight Indexed Swaps (OIS). Attention is also invited to the </w:t>
      </w:r>
      <w:hyperlink r:id="rId292" w:tgtFrame="_blank" w:history="1">
        <w:r w:rsidRPr="00470480">
          <w:rPr>
            <w:rStyle w:val="Hyperlink"/>
            <w:rFonts w:ascii="Arial" w:hAnsi="Arial" w:cs="Arial"/>
            <w:sz w:val="20"/>
            <w:szCs w:val="20"/>
          </w:rPr>
          <w:t>Rupee Interest Rate Derivatives (Reserve Bank) Directions, 2019 dated June 26, 2019</w:t>
        </w:r>
      </w:hyperlink>
      <w:r w:rsidRPr="00470480">
        <w:rPr>
          <w:rFonts w:ascii="Arial" w:hAnsi="Arial" w:cs="Arial"/>
          <w:color w:val="000000"/>
          <w:sz w:val="20"/>
          <w:szCs w:val="20"/>
        </w:rPr>
        <w:t> (hereinafter, Directions).</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 xml:space="preserve">2. Banks in India having Authorised Dealer Category-I (AD Cat-I) license under FEMA, 1999, shall be eligible to offer Foreign Currency Settled OIS (FCS-OIS) based on the Overnight Mumbai Interbank Outright Rate (MIBOR) benchmark published by Financial Benchmarks India </w:t>
      </w:r>
      <w:proofErr w:type="spellStart"/>
      <w:r w:rsidRPr="00470480">
        <w:rPr>
          <w:rFonts w:ascii="Arial" w:hAnsi="Arial" w:cs="Arial"/>
          <w:color w:val="000000"/>
          <w:sz w:val="20"/>
          <w:szCs w:val="20"/>
        </w:rPr>
        <w:t>Pvt.</w:t>
      </w:r>
      <w:proofErr w:type="spellEnd"/>
      <w:r w:rsidRPr="00470480">
        <w:rPr>
          <w:rFonts w:ascii="Arial" w:hAnsi="Arial" w:cs="Arial"/>
          <w:color w:val="000000"/>
          <w:sz w:val="20"/>
          <w:szCs w:val="20"/>
        </w:rPr>
        <w:t xml:space="preserve"> Ltd. (FBIL) to persons not resident in India as well as to other AD Cat-I banks. Banks can undertake these transactions through their branches in India, through their International Financial Services Centre (IFSC) Banking Units (IBUs) or through their foreign branches (in case of foreign banks operating in India, through any branch of the parent bank). Banks may undertake FCS-OIS transactions beyond onshore market hours.</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3. The instructions shall be applicable with immediate effect. The </w:t>
      </w:r>
      <w:hyperlink r:id="rId293" w:tgtFrame="_blank" w:history="1">
        <w:r w:rsidRPr="00470480">
          <w:rPr>
            <w:rStyle w:val="Hyperlink"/>
            <w:rFonts w:ascii="Arial" w:hAnsi="Arial" w:cs="Arial"/>
            <w:sz w:val="20"/>
            <w:szCs w:val="20"/>
          </w:rPr>
          <w:t>updated Directions</w:t>
        </w:r>
      </w:hyperlink>
      <w:r w:rsidRPr="00470480">
        <w:rPr>
          <w:rFonts w:ascii="Arial" w:hAnsi="Arial" w:cs="Arial"/>
          <w:color w:val="000000"/>
          <w:sz w:val="20"/>
          <w:szCs w:val="20"/>
        </w:rPr>
        <w:t> are attached.</w:t>
      </w:r>
    </w:p>
    <w:p w:rsidR="007D6A09" w:rsidRPr="00470480" w:rsidRDefault="007D6A09" w:rsidP="007D6A09">
      <w:pPr>
        <w:pStyle w:val="NormalWeb"/>
        <w:jc w:val="both"/>
        <w:rPr>
          <w:rFonts w:ascii="Arial" w:hAnsi="Arial" w:cs="Arial"/>
          <w:color w:val="000000"/>
          <w:sz w:val="20"/>
          <w:szCs w:val="20"/>
        </w:rPr>
      </w:pPr>
      <w:r w:rsidRPr="00470480">
        <w:rPr>
          <w:rFonts w:ascii="Arial" w:hAnsi="Arial" w:cs="Arial"/>
          <w:color w:val="000000"/>
          <w:sz w:val="20"/>
          <w:szCs w:val="20"/>
        </w:rPr>
        <w:t>4. The instructions contained in this circular have been issued in exercise of the powers conferred under section 45W of the Reserve Bank of India Act, 1934 read with section 45U of the Act and of all the powers enabling it in this behalf. A reference is also invited to the Foreign Exchange Management (Permissible Capital Account Transactions) Regulations, 2000 (</w:t>
      </w:r>
      <w:hyperlink r:id="rId294" w:tgtFrame="_blank" w:history="1">
        <w:r w:rsidRPr="00470480">
          <w:rPr>
            <w:rStyle w:val="Hyperlink"/>
            <w:rFonts w:ascii="Arial" w:hAnsi="Arial" w:cs="Arial"/>
            <w:sz w:val="20"/>
            <w:szCs w:val="20"/>
          </w:rPr>
          <w:t>Notification No. FEMA 1/2000-RB dated May 03, 2000</w:t>
        </w:r>
      </w:hyperlink>
      <w:r w:rsidRPr="00470480">
        <w:rPr>
          <w:rFonts w:ascii="Arial" w:hAnsi="Arial" w:cs="Arial"/>
          <w:color w:val="000000"/>
          <w:sz w:val="20"/>
          <w:szCs w:val="20"/>
        </w:rPr>
        <w:t>) and Foreign Exchange Management (Debt Instruments) Regulations, 2019 (</w:t>
      </w:r>
      <w:hyperlink r:id="rId295"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as amended from time to time.</w:t>
      </w:r>
    </w:p>
    <w:p w:rsidR="007D6A09" w:rsidRPr="00470480" w:rsidRDefault="007D6A09" w:rsidP="007D6A09">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7D6A09" w:rsidRPr="00470480" w:rsidRDefault="007D6A09" w:rsidP="007D6A09">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7D6A09" w:rsidRPr="00470480" w:rsidRDefault="00DA36B4"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296" w:history="1">
        <w:r w:rsidRPr="00470480">
          <w:rPr>
            <w:rStyle w:val="Hyperlink"/>
            <w:rFonts w:ascii="Arial" w:hAnsi="Arial" w:cs="Arial"/>
            <w:sz w:val="20"/>
            <w:szCs w:val="20"/>
          </w:rPr>
          <w:t>https://www.rbi.org.in/Scripts/NotificationUser.aspx?Id=12229&amp;Mode=0</w:t>
        </w:r>
      </w:hyperlink>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b/>
          <w:bCs/>
          <w:color w:val="000000"/>
          <w:sz w:val="20"/>
          <w:szCs w:val="20"/>
        </w:rPr>
      </w:pPr>
    </w:p>
    <w:p w:rsidR="00536CF8" w:rsidRDefault="00536CF8" w:rsidP="00BE4BD6">
      <w:pPr>
        <w:spacing w:after="0"/>
        <w:jc w:val="both"/>
        <w:rPr>
          <w:rFonts w:ascii="Arial" w:hAnsi="Arial" w:cs="Arial"/>
          <w:b/>
          <w:bCs/>
          <w:color w:val="000000"/>
          <w:sz w:val="20"/>
          <w:szCs w:val="20"/>
        </w:rPr>
      </w:pPr>
    </w:p>
    <w:p w:rsidR="00DA36B4" w:rsidRPr="00470480" w:rsidRDefault="00DA36B4"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‘Voluntary Retention Route’ (VRR) for Foreign Portfolio Investors (FPIs) investment in debt</w:t>
      </w:r>
    </w:p>
    <w:p w:rsidR="00DA36B4" w:rsidRPr="00470480" w:rsidRDefault="00DA36B4" w:rsidP="00BE4BD6">
      <w:pPr>
        <w:spacing w:after="0"/>
        <w:jc w:val="both"/>
        <w:rPr>
          <w:rFonts w:ascii="Arial" w:hAnsi="Arial" w:cs="Arial"/>
          <w:b/>
          <w:bCs/>
          <w:color w:val="000000"/>
          <w:sz w:val="20"/>
          <w:szCs w:val="20"/>
        </w:rPr>
      </w:pP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RBI/2021-22/156</w:t>
      </w:r>
      <w:r w:rsidRPr="00470480">
        <w:rPr>
          <w:rFonts w:ascii="Arial" w:hAnsi="Arial" w:cs="Arial"/>
          <w:color w:val="000000"/>
          <w:sz w:val="20"/>
          <w:szCs w:val="20"/>
        </w:rPr>
        <w:br/>
        <w:t>A.P. (DIR Series) Circular No. 22</w:t>
      </w:r>
    </w:p>
    <w:p w:rsidR="00DA36B4" w:rsidRPr="00470480" w:rsidRDefault="00DA36B4" w:rsidP="00DA36B4">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To</w:t>
      </w: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All Authorized Persons</w:t>
      </w: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DA36B4" w:rsidRPr="00470480" w:rsidRDefault="00DA36B4" w:rsidP="00DA36B4">
      <w:pPr>
        <w:pStyle w:val="head"/>
        <w:jc w:val="center"/>
        <w:rPr>
          <w:rFonts w:ascii="Arial" w:hAnsi="Arial" w:cs="Arial"/>
          <w:b/>
          <w:bCs/>
          <w:color w:val="000000"/>
          <w:sz w:val="20"/>
          <w:szCs w:val="20"/>
        </w:rPr>
      </w:pPr>
      <w:r w:rsidRPr="00470480">
        <w:rPr>
          <w:rFonts w:ascii="Arial" w:hAnsi="Arial" w:cs="Arial"/>
          <w:b/>
          <w:bCs/>
          <w:color w:val="000000"/>
          <w:sz w:val="20"/>
          <w:szCs w:val="20"/>
        </w:rPr>
        <w:t>‘Voluntary Retention Route’ (VRR) for Foreign Portfolio Investors (FPIs) investment in debt</w:t>
      </w: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3 of the </w:t>
      </w:r>
      <w:hyperlink r:id="rId297" w:tgtFrame="_blank" w:history="1">
        <w:r w:rsidRPr="00470480">
          <w:rPr>
            <w:rStyle w:val="Hyperlink"/>
            <w:rFonts w:ascii="Arial" w:hAnsi="Arial" w:cs="Arial"/>
            <w:sz w:val="20"/>
            <w:szCs w:val="20"/>
          </w:rPr>
          <w:t>Statement on Developmental and Regulatory Policies dated February 10, 2022</w:t>
        </w:r>
      </w:hyperlink>
      <w:r w:rsidRPr="00470480">
        <w:rPr>
          <w:rFonts w:ascii="Arial" w:hAnsi="Arial" w:cs="Arial"/>
          <w:color w:val="000000"/>
          <w:sz w:val="20"/>
          <w:szCs w:val="20"/>
        </w:rPr>
        <w:t> regarding enhancement of the investment limit under the Voluntary Retention Route (VRR).</w:t>
      </w: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2. Attention of Authorised Dealer Category-I (AD Category-I) banks is invited to the following regulations, as amended from time to time, and the relevant Directions issued under these regulations.</w:t>
      </w:r>
    </w:p>
    <w:p w:rsidR="00DA36B4" w:rsidRPr="00470480" w:rsidRDefault="00DA36B4" w:rsidP="00DA36B4">
      <w:pPr>
        <w:pStyle w:val="NormalWeb"/>
        <w:numPr>
          <w:ilvl w:val="0"/>
          <w:numId w:val="147"/>
        </w:numPr>
        <w:ind w:left="0"/>
        <w:jc w:val="both"/>
        <w:rPr>
          <w:rFonts w:ascii="Arial" w:hAnsi="Arial" w:cs="Arial"/>
          <w:color w:val="000000"/>
          <w:sz w:val="20"/>
          <w:szCs w:val="20"/>
        </w:rPr>
      </w:pPr>
      <w:r w:rsidRPr="00470480">
        <w:rPr>
          <w:rFonts w:ascii="Arial" w:hAnsi="Arial" w:cs="Arial"/>
          <w:color w:val="000000"/>
          <w:sz w:val="20"/>
          <w:szCs w:val="20"/>
        </w:rPr>
        <w:t>Foreign Exchange Management (Permissible Capital Accounts Transactions) Regulations, 2000 notified vide </w:t>
      </w:r>
      <w:hyperlink r:id="rId298" w:tgtFrame="_blank" w:history="1">
        <w:r w:rsidRPr="00470480">
          <w:rPr>
            <w:rStyle w:val="Hyperlink"/>
            <w:rFonts w:ascii="Arial" w:hAnsi="Arial" w:cs="Arial"/>
            <w:sz w:val="20"/>
            <w:szCs w:val="20"/>
          </w:rPr>
          <w:t>Notification No. FEMA 1/2000-RB dated May 03, 2000</w:t>
        </w:r>
      </w:hyperlink>
      <w:r w:rsidRPr="00470480">
        <w:rPr>
          <w:rFonts w:ascii="Arial" w:hAnsi="Arial" w:cs="Arial"/>
          <w:color w:val="000000"/>
          <w:sz w:val="20"/>
          <w:szCs w:val="20"/>
        </w:rPr>
        <w:t>;</w:t>
      </w:r>
    </w:p>
    <w:p w:rsidR="00DA36B4" w:rsidRPr="00470480" w:rsidRDefault="00DA36B4" w:rsidP="00DA36B4">
      <w:pPr>
        <w:pStyle w:val="NormalWeb"/>
        <w:numPr>
          <w:ilvl w:val="0"/>
          <w:numId w:val="147"/>
        </w:numPr>
        <w:ind w:left="0"/>
        <w:jc w:val="both"/>
        <w:rPr>
          <w:rFonts w:ascii="Arial" w:hAnsi="Arial" w:cs="Arial"/>
          <w:color w:val="000000"/>
          <w:sz w:val="20"/>
          <w:szCs w:val="20"/>
        </w:rPr>
      </w:pPr>
      <w:r w:rsidRPr="00470480">
        <w:rPr>
          <w:rFonts w:ascii="Arial" w:hAnsi="Arial" w:cs="Arial"/>
          <w:color w:val="000000"/>
          <w:sz w:val="20"/>
          <w:szCs w:val="20"/>
        </w:rPr>
        <w:t>Foreign Exchange Management (Borrowing and Lending) Regulations, 2018 notified vide </w:t>
      </w:r>
      <w:hyperlink r:id="rId299" w:tgtFrame="_blank" w:history="1">
        <w:r w:rsidRPr="00470480">
          <w:rPr>
            <w:rStyle w:val="Hyperlink"/>
            <w:rFonts w:ascii="Arial" w:hAnsi="Arial" w:cs="Arial"/>
            <w:sz w:val="20"/>
            <w:szCs w:val="20"/>
          </w:rPr>
          <w:t>Notification No. FEMA 3(R)/2018-RB dated December 17, 2018</w:t>
        </w:r>
      </w:hyperlink>
      <w:r w:rsidRPr="00470480">
        <w:rPr>
          <w:rFonts w:ascii="Arial" w:hAnsi="Arial" w:cs="Arial"/>
          <w:color w:val="000000"/>
          <w:sz w:val="20"/>
          <w:szCs w:val="20"/>
        </w:rPr>
        <w:t>;</w:t>
      </w:r>
    </w:p>
    <w:p w:rsidR="00DA36B4" w:rsidRPr="00470480" w:rsidRDefault="00DA36B4" w:rsidP="00DA36B4">
      <w:pPr>
        <w:pStyle w:val="NormalWeb"/>
        <w:numPr>
          <w:ilvl w:val="0"/>
          <w:numId w:val="147"/>
        </w:numPr>
        <w:ind w:left="0"/>
        <w:jc w:val="both"/>
        <w:rPr>
          <w:rFonts w:ascii="Arial" w:hAnsi="Arial" w:cs="Arial"/>
          <w:color w:val="000000"/>
          <w:sz w:val="20"/>
          <w:szCs w:val="20"/>
        </w:rPr>
      </w:pPr>
      <w:r w:rsidRPr="00470480">
        <w:rPr>
          <w:rFonts w:ascii="Arial" w:hAnsi="Arial" w:cs="Arial"/>
          <w:color w:val="000000"/>
          <w:sz w:val="20"/>
          <w:szCs w:val="20"/>
        </w:rPr>
        <w:t>Foreign Exchange Management (Debt Instruments) Regulations, 2019 notified vide </w:t>
      </w:r>
      <w:hyperlink r:id="rId300"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and</w:t>
      </w:r>
    </w:p>
    <w:p w:rsidR="00DA36B4" w:rsidRPr="00470480" w:rsidRDefault="00DA36B4" w:rsidP="00DA36B4">
      <w:pPr>
        <w:pStyle w:val="NormalWeb"/>
        <w:numPr>
          <w:ilvl w:val="0"/>
          <w:numId w:val="147"/>
        </w:numPr>
        <w:ind w:left="0"/>
        <w:jc w:val="both"/>
        <w:rPr>
          <w:rFonts w:ascii="Arial" w:hAnsi="Arial" w:cs="Arial"/>
          <w:color w:val="000000"/>
          <w:sz w:val="20"/>
          <w:szCs w:val="20"/>
        </w:rPr>
      </w:pPr>
      <w:r w:rsidRPr="00470480">
        <w:rPr>
          <w:rFonts w:ascii="Arial" w:hAnsi="Arial" w:cs="Arial"/>
          <w:color w:val="000000"/>
          <w:sz w:val="20"/>
          <w:szCs w:val="20"/>
        </w:rPr>
        <w:t>Foreign Exchange Management (Foreign Exchange Derivative Contracts) Regulations, 2000 notified vide </w:t>
      </w:r>
      <w:hyperlink r:id="rId301" w:tgtFrame="_blank" w:history="1">
        <w:r w:rsidRPr="00470480">
          <w:rPr>
            <w:rStyle w:val="Hyperlink"/>
            <w:rFonts w:ascii="Arial" w:hAnsi="Arial" w:cs="Arial"/>
            <w:sz w:val="20"/>
            <w:szCs w:val="20"/>
          </w:rPr>
          <w:t>Notification No. FEMA 25/RB – 2000 dated May 03, 2000</w:t>
        </w:r>
      </w:hyperlink>
      <w:r w:rsidRPr="00470480">
        <w:rPr>
          <w:rFonts w:ascii="Arial" w:hAnsi="Arial" w:cs="Arial"/>
          <w:color w:val="000000"/>
          <w:sz w:val="20"/>
          <w:szCs w:val="20"/>
        </w:rPr>
        <w:t>.</w:t>
      </w: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3. AD Category – I banks may also refer to </w:t>
      </w:r>
      <w:hyperlink r:id="rId302" w:tgtFrame="_blank" w:history="1">
        <w:r w:rsidRPr="00470480">
          <w:rPr>
            <w:rStyle w:val="Hyperlink"/>
            <w:rFonts w:ascii="Arial" w:hAnsi="Arial" w:cs="Arial"/>
            <w:sz w:val="20"/>
            <w:szCs w:val="20"/>
          </w:rPr>
          <w:t>A.P. (DIR Series) Circular No. 34 dated May 24, 2019</w:t>
        </w:r>
      </w:hyperlink>
      <w:r w:rsidRPr="00470480">
        <w:rPr>
          <w:rFonts w:ascii="Arial" w:hAnsi="Arial" w:cs="Arial"/>
          <w:color w:val="000000"/>
          <w:sz w:val="20"/>
          <w:szCs w:val="20"/>
        </w:rPr>
        <w:t>, on ‘Voluntary Retention Route’ for Foreign Portfolio Investors investment in debt, read with</w:t>
      </w:r>
      <w:hyperlink r:id="rId303" w:tgtFrame="_blank" w:history="1">
        <w:r w:rsidRPr="00470480">
          <w:rPr>
            <w:rStyle w:val="Hyperlink"/>
            <w:rFonts w:ascii="Arial" w:hAnsi="Arial" w:cs="Arial"/>
            <w:sz w:val="20"/>
            <w:szCs w:val="20"/>
          </w:rPr>
          <w:t> A.P. (DIR Series) Circular No. 19 dated January 23, 2020</w:t>
        </w:r>
      </w:hyperlink>
      <w:r w:rsidRPr="00470480">
        <w:rPr>
          <w:rFonts w:ascii="Arial" w:hAnsi="Arial" w:cs="Arial"/>
          <w:color w:val="000000"/>
          <w:sz w:val="20"/>
          <w:szCs w:val="20"/>
        </w:rPr>
        <w:t>.</w:t>
      </w: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 xml:space="preserve">4. The investment limit under the VRR is increased to ₹2,50,000 </w:t>
      </w:r>
      <w:proofErr w:type="gramStart"/>
      <w:r w:rsidRPr="00470480">
        <w:rPr>
          <w:rFonts w:ascii="Arial" w:hAnsi="Arial" w:cs="Arial"/>
          <w:color w:val="000000"/>
          <w:sz w:val="20"/>
          <w:szCs w:val="20"/>
        </w:rPr>
        <w:t>crore</w:t>
      </w:r>
      <w:proofErr w:type="gramEnd"/>
      <w:r w:rsidRPr="00470480">
        <w:rPr>
          <w:rFonts w:ascii="Arial" w:hAnsi="Arial" w:cs="Arial"/>
          <w:color w:val="000000"/>
          <w:sz w:val="20"/>
          <w:szCs w:val="20"/>
        </w:rPr>
        <w:t xml:space="preserve"> from ₹1,50,000 crore. The updated Directions are as given in the </w:t>
      </w:r>
      <w:hyperlink r:id="rId304" w:anchor="AN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5. These Directions shall be applicable with effect from April 1, 2022.</w:t>
      </w: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6. The directions contained in this circular have been issued under sections 10(4) and 11(1) of the Foreign Exchange Management Act, 1999 (42 of 1999) and are without prejudice to permissions/ approvals, if any, required under any other law.</w:t>
      </w:r>
    </w:p>
    <w:p w:rsidR="00DA36B4" w:rsidRPr="00470480" w:rsidRDefault="00DA36B4" w:rsidP="00DA36B4">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DA36B4" w:rsidRPr="00470480" w:rsidRDefault="00DA36B4" w:rsidP="00DA36B4">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536CF8" w:rsidRDefault="00536CF8"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305" w:history="1">
        <w:r w:rsidRPr="00470480">
          <w:rPr>
            <w:rStyle w:val="Hyperlink"/>
            <w:rFonts w:ascii="Arial" w:hAnsi="Arial" w:cs="Arial"/>
            <w:sz w:val="20"/>
            <w:szCs w:val="20"/>
          </w:rPr>
          <w:t>https://www.rbi.org.in/Scripts/NotificationUser.aspx?Id=12228&amp;Mode=0</w:t>
        </w:r>
      </w:hyperlink>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274FAB" w:rsidRDefault="00274FAB" w:rsidP="00BE4BD6">
      <w:pPr>
        <w:spacing w:after="0"/>
        <w:jc w:val="both"/>
        <w:rPr>
          <w:rFonts w:ascii="Arial" w:hAnsi="Arial" w:cs="Arial"/>
          <w:b/>
          <w:bCs/>
          <w:color w:val="000000"/>
          <w:sz w:val="20"/>
          <w:szCs w:val="20"/>
        </w:rPr>
      </w:pPr>
      <w:r>
        <w:rPr>
          <w:rFonts w:ascii="Arial" w:hAnsi="Arial" w:cs="Arial"/>
          <w:b/>
          <w:bCs/>
          <w:color w:val="000000"/>
          <w:sz w:val="20"/>
          <w:szCs w:val="20"/>
        </w:rPr>
        <w:t>Transactions in Credit Default Swap (CDS) by Foreign Portfolio Investors – Operational Instructions</w:t>
      </w:r>
      <w:r w:rsidRPr="00470480">
        <w:rPr>
          <w:rFonts w:ascii="Arial" w:hAnsi="Arial" w:cs="Arial"/>
          <w:b/>
          <w:bCs/>
          <w:color w:val="000000"/>
          <w:sz w:val="20"/>
          <w:szCs w:val="20"/>
        </w:rPr>
        <w:t xml:space="preserve"> </w:t>
      </w:r>
    </w:p>
    <w:p w:rsidR="00274FAB" w:rsidRDefault="00274FAB" w:rsidP="00BE4BD6">
      <w:pPr>
        <w:spacing w:after="0"/>
        <w:jc w:val="both"/>
        <w:rPr>
          <w:rFonts w:ascii="Arial" w:hAnsi="Arial" w:cs="Arial"/>
          <w:b/>
          <w:bCs/>
          <w:color w:val="000000"/>
          <w:sz w:val="20"/>
          <w:szCs w:val="20"/>
        </w:rPr>
      </w:pPr>
    </w:p>
    <w:p w:rsidR="00274FAB" w:rsidRPr="00274FAB" w:rsidRDefault="00274FAB" w:rsidP="00274FAB">
      <w:pPr>
        <w:pStyle w:val="NormalWeb"/>
        <w:rPr>
          <w:rFonts w:ascii="Arial" w:hAnsi="Arial" w:cs="Arial"/>
          <w:sz w:val="20"/>
          <w:szCs w:val="20"/>
        </w:rPr>
      </w:pPr>
      <w:r w:rsidRPr="00274FAB">
        <w:rPr>
          <w:rFonts w:ascii="Arial" w:hAnsi="Arial" w:cs="Arial"/>
          <w:sz w:val="20"/>
          <w:szCs w:val="20"/>
        </w:rPr>
        <w:t>RBI/2021-22/155</w:t>
      </w:r>
      <w:r w:rsidRPr="00274FAB">
        <w:rPr>
          <w:rFonts w:ascii="Arial" w:hAnsi="Arial" w:cs="Arial"/>
          <w:sz w:val="20"/>
          <w:szCs w:val="20"/>
        </w:rPr>
        <w:br/>
        <w:t>A.P. (DIR Series) Circular No. 23</w:t>
      </w:r>
    </w:p>
    <w:p w:rsidR="00274FAB" w:rsidRPr="00274FAB" w:rsidRDefault="00274FAB" w:rsidP="00274FAB">
      <w:pPr>
        <w:pStyle w:val="NormalWeb"/>
        <w:jc w:val="right"/>
        <w:rPr>
          <w:rFonts w:ascii="Arial" w:hAnsi="Arial" w:cs="Arial"/>
          <w:sz w:val="20"/>
          <w:szCs w:val="20"/>
        </w:rPr>
      </w:pPr>
      <w:r w:rsidRPr="00274FAB">
        <w:rPr>
          <w:rFonts w:ascii="Arial" w:hAnsi="Arial" w:cs="Arial"/>
          <w:sz w:val="20"/>
          <w:szCs w:val="20"/>
        </w:rPr>
        <w:t>February 10, 2022</w:t>
      </w:r>
    </w:p>
    <w:p w:rsidR="00274FAB" w:rsidRPr="00274FAB" w:rsidRDefault="00274FAB" w:rsidP="00274FAB">
      <w:pPr>
        <w:pStyle w:val="NormalWeb"/>
        <w:rPr>
          <w:rFonts w:ascii="Arial" w:hAnsi="Arial" w:cs="Arial"/>
          <w:sz w:val="20"/>
          <w:szCs w:val="20"/>
        </w:rPr>
      </w:pPr>
      <w:r w:rsidRPr="00274FAB">
        <w:rPr>
          <w:rFonts w:ascii="Arial" w:hAnsi="Arial" w:cs="Arial"/>
          <w:sz w:val="20"/>
          <w:szCs w:val="20"/>
        </w:rPr>
        <w:t>To,</w:t>
      </w:r>
    </w:p>
    <w:p w:rsidR="00274FAB" w:rsidRPr="00274FAB" w:rsidRDefault="00274FAB" w:rsidP="00274FAB">
      <w:pPr>
        <w:pStyle w:val="NormalWeb"/>
        <w:rPr>
          <w:rFonts w:ascii="Arial" w:hAnsi="Arial" w:cs="Arial"/>
          <w:sz w:val="20"/>
          <w:szCs w:val="20"/>
        </w:rPr>
      </w:pPr>
      <w:r w:rsidRPr="00274FAB">
        <w:rPr>
          <w:rFonts w:ascii="Arial" w:hAnsi="Arial" w:cs="Arial"/>
          <w:sz w:val="20"/>
          <w:szCs w:val="20"/>
        </w:rPr>
        <w:t>All Authorised Persons</w:t>
      </w:r>
    </w:p>
    <w:p w:rsidR="00274FAB" w:rsidRPr="00274FAB" w:rsidRDefault="00274FAB" w:rsidP="00274FAB">
      <w:pPr>
        <w:pStyle w:val="NormalWeb"/>
        <w:rPr>
          <w:rFonts w:ascii="Arial" w:hAnsi="Arial" w:cs="Arial"/>
          <w:sz w:val="20"/>
          <w:szCs w:val="20"/>
        </w:rPr>
      </w:pPr>
      <w:r w:rsidRPr="00274FAB">
        <w:rPr>
          <w:rFonts w:ascii="Arial" w:hAnsi="Arial" w:cs="Arial"/>
          <w:sz w:val="20"/>
          <w:szCs w:val="20"/>
        </w:rPr>
        <w:t>Madam / Sir</w:t>
      </w:r>
    </w:p>
    <w:p w:rsidR="00274FAB" w:rsidRPr="00274FAB" w:rsidRDefault="00274FAB" w:rsidP="00274FAB">
      <w:pPr>
        <w:pStyle w:val="head"/>
        <w:jc w:val="center"/>
        <w:rPr>
          <w:rFonts w:ascii="Arial" w:hAnsi="Arial" w:cs="Arial"/>
          <w:b/>
          <w:bCs/>
          <w:sz w:val="20"/>
          <w:szCs w:val="20"/>
        </w:rPr>
      </w:pPr>
      <w:r w:rsidRPr="00274FAB">
        <w:rPr>
          <w:rFonts w:ascii="Arial" w:hAnsi="Arial" w:cs="Arial"/>
          <w:b/>
          <w:bCs/>
          <w:sz w:val="20"/>
          <w:szCs w:val="20"/>
        </w:rPr>
        <w:t>Transactions in Credit Default Swap (CDS) by Foreign Portfolio Investors – Operational Instructions</w:t>
      </w:r>
    </w:p>
    <w:p w:rsidR="00274FAB" w:rsidRPr="00274FAB" w:rsidRDefault="00274FAB" w:rsidP="00274FAB">
      <w:pPr>
        <w:pStyle w:val="NormalWeb"/>
        <w:rPr>
          <w:rFonts w:ascii="Arial" w:hAnsi="Arial" w:cs="Arial"/>
          <w:sz w:val="20"/>
          <w:szCs w:val="20"/>
        </w:rPr>
      </w:pPr>
      <w:r w:rsidRPr="00274FAB">
        <w:rPr>
          <w:rFonts w:ascii="Arial" w:hAnsi="Arial" w:cs="Arial"/>
          <w:sz w:val="20"/>
          <w:szCs w:val="20"/>
        </w:rPr>
        <w:t>Attention of Authorised Persons is invited to the Foreign Exchange Management (Debt Instruments) Regulations, 2019 [</w:t>
      </w:r>
      <w:hyperlink r:id="rId306" w:tgtFrame="_blank" w:history="1">
        <w:r w:rsidRPr="00274FAB">
          <w:rPr>
            <w:rStyle w:val="Hyperlink"/>
            <w:rFonts w:ascii="Arial" w:hAnsi="Arial" w:cs="Arial"/>
            <w:sz w:val="20"/>
            <w:szCs w:val="20"/>
          </w:rPr>
          <w:t>Notification No. FEMA. 396/2019-RB dated October 17, 2019</w:t>
        </w:r>
      </w:hyperlink>
      <w:r w:rsidRPr="00274FAB">
        <w:rPr>
          <w:rFonts w:ascii="Arial" w:hAnsi="Arial" w:cs="Arial"/>
          <w:sz w:val="20"/>
          <w:szCs w:val="20"/>
        </w:rPr>
        <w:t>], as amended from time to time. A reference is also invited to </w:t>
      </w:r>
      <w:hyperlink r:id="rId307" w:tgtFrame="_blank" w:history="1">
        <w:r w:rsidRPr="00274FAB">
          <w:rPr>
            <w:rStyle w:val="Hyperlink"/>
            <w:rFonts w:ascii="Arial" w:hAnsi="Arial" w:cs="Arial"/>
            <w:sz w:val="20"/>
            <w:szCs w:val="20"/>
          </w:rPr>
          <w:t>A.P. (DIR Series) Circular No.31 dated June 15, 2018</w:t>
        </w:r>
      </w:hyperlink>
      <w:r w:rsidRPr="00274FAB">
        <w:rPr>
          <w:rFonts w:ascii="Arial" w:hAnsi="Arial" w:cs="Arial"/>
          <w:sz w:val="20"/>
          <w:szCs w:val="20"/>
        </w:rPr>
        <w:t>, </w:t>
      </w:r>
      <w:hyperlink r:id="rId308" w:tgtFrame="_blank" w:history="1">
        <w:r w:rsidRPr="00274FAB">
          <w:rPr>
            <w:rStyle w:val="Hyperlink"/>
            <w:rFonts w:ascii="Arial" w:hAnsi="Arial" w:cs="Arial"/>
            <w:sz w:val="20"/>
            <w:szCs w:val="20"/>
          </w:rPr>
          <w:t>A.P. (DIR Series) Circular No. 05 dated May 31, 2021</w:t>
        </w:r>
      </w:hyperlink>
      <w:r w:rsidRPr="00274FAB">
        <w:rPr>
          <w:rFonts w:ascii="Arial" w:hAnsi="Arial" w:cs="Arial"/>
          <w:sz w:val="20"/>
          <w:szCs w:val="20"/>
        </w:rPr>
        <w:t> and </w:t>
      </w:r>
      <w:hyperlink r:id="rId309" w:tgtFrame="_blank" w:history="1">
        <w:r w:rsidRPr="00274FAB">
          <w:rPr>
            <w:rStyle w:val="Hyperlink"/>
            <w:rFonts w:ascii="Arial" w:hAnsi="Arial" w:cs="Arial"/>
            <w:sz w:val="20"/>
            <w:szCs w:val="20"/>
          </w:rPr>
          <w:t>Master Direction – Reserve Bank of India (Credit Derivatives) Directions, 2022 dated February 10, 2022</w:t>
        </w:r>
      </w:hyperlink>
      <w:r w:rsidRPr="00274FAB">
        <w:rPr>
          <w:rFonts w:ascii="Arial" w:hAnsi="Arial" w:cs="Arial"/>
          <w:sz w:val="20"/>
          <w:szCs w:val="20"/>
        </w:rPr>
        <w:t>, as amended from time to time (hereinafter, Credit Derivatives Directions).</w:t>
      </w:r>
    </w:p>
    <w:p w:rsidR="00274FAB" w:rsidRPr="00274FAB" w:rsidRDefault="00274FAB" w:rsidP="00274FAB">
      <w:pPr>
        <w:pStyle w:val="NormalWeb"/>
        <w:rPr>
          <w:rFonts w:ascii="Arial" w:hAnsi="Arial" w:cs="Arial"/>
          <w:sz w:val="20"/>
          <w:szCs w:val="20"/>
        </w:rPr>
      </w:pPr>
      <w:r w:rsidRPr="00274FAB">
        <w:rPr>
          <w:rFonts w:ascii="Arial" w:hAnsi="Arial" w:cs="Arial"/>
          <w:sz w:val="20"/>
          <w:szCs w:val="20"/>
        </w:rPr>
        <w:t>2. Foreign Portfolio Investors (FPIs) are eligible to be categorised as non-retail users and have been allowed to buy and sell CDS protection under the Credit Derivatives Directions. Necessary Directions to Authorised Persons that are eligible to deal with FPIs for transacting in Credit Derivatives in terms of the Credit Derivatives Directions are being issued hereunder.</w:t>
      </w:r>
    </w:p>
    <w:p w:rsidR="00274FAB" w:rsidRPr="00274FAB" w:rsidRDefault="00274FAB" w:rsidP="00274FAB">
      <w:pPr>
        <w:pStyle w:val="NormalWeb"/>
        <w:rPr>
          <w:rFonts w:ascii="Arial" w:hAnsi="Arial" w:cs="Arial"/>
          <w:sz w:val="20"/>
          <w:szCs w:val="20"/>
        </w:rPr>
      </w:pPr>
      <w:r w:rsidRPr="00274FAB">
        <w:rPr>
          <w:rFonts w:ascii="Arial" w:hAnsi="Arial" w:cs="Arial"/>
          <w:sz w:val="20"/>
          <w:szCs w:val="20"/>
        </w:rPr>
        <w:t>3. Selling of CDS protection by all FPIs shall be subject to a limit specified by the Reserve Bank from time to time (hereinafter, aggregate limit). The aggregate limit of the notional amount of CDS sold by FPIs shall be 5% of the outstanding stock of corporate bonds. Clearing Corporation of India Ltd. (CCIL) shall disseminate the utilisation of aggregate limit based on the reporting by the market makers for transactions in OTC market and reporting by stock exchanges for transactions on exchanges. FPIs shall not sell any CDS protection once aggregate limit is utilised. The limit utilised for CDS protection sold by the FPI shall be released upon the exit of the CDS position by the FPIs.</w:t>
      </w:r>
    </w:p>
    <w:p w:rsidR="002E3BA0" w:rsidRDefault="002E3BA0" w:rsidP="00BE4BD6">
      <w:pPr>
        <w:spacing w:after="0"/>
        <w:jc w:val="both"/>
        <w:rPr>
          <w:rFonts w:ascii="Arial" w:hAnsi="Arial" w:cs="Arial"/>
          <w:bCs/>
          <w:color w:val="000000"/>
          <w:sz w:val="20"/>
          <w:szCs w:val="20"/>
        </w:rPr>
      </w:pPr>
    </w:p>
    <w:p w:rsidR="002E3BA0" w:rsidRDefault="002E3BA0" w:rsidP="00BE4BD6">
      <w:pPr>
        <w:spacing w:after="0"/>
        <w:jc w:val="both"/>
        <w:rPr>
          <w:rFonts w:ascii="Arial" w:hAnsi="Arial" w:cs="Arial"/>
          <w:bCs/>
          <w:color w:val="000000"/>
          <w:sz w:val="20"/>
          <w:szCs w:val="20"/>
        </w:rPr>
      </w:pPr>
    </w:p>
    <w:p w:rsidR="00274FAB" w:rsidRPr="002E3BA0" w:rsidRDefault="002E3BA0" w:rsidP="00BE4BD6">
      <w:pPr>
        <w:spacing w:after="0"/>
        <w:jc w:val="both"/>
        <w:rPr>
          <w:rFonts w:ascii="Arial" w:hAnsi="Arial" w:cs="Arial"/>
          <w:bCs/>
          <w:color w:val="000000"/>
          <w:sz w:val="20"/>
          <w:szCs w:val="20"/>
        </w:rPr>
      </w:pPr>
      <w:r>
        <w:rPr>
          <w:rFonts w:ascii="Arial" w:hAnsi="Arial" w:cs="Arial"/>
          <w:bCs/>
          <w:color w:val="000000"/>
          <w:sz w:val="20"/>
          <w:szCs w:val="20"/>
        </w:rPr>
        <w:t>For more details, refer to the link placed below.</w:t>
      </w:r>
    </w:p>
    <w:p w:rsidR="00274FAB" w:rsidRDefault="00274FAB" w:rsidP="00BE4BD6">
      <w:pPr>
        <w:spacing w:after="0"/>
        <w:jc w:val="both"/>
        <w:rPr>
          <w:rFonts w:ascii="Arial" w:hAnsi="Arial" w:cs="Arial"/>
          <w:bCs/>
          <w:color w:val="000000"/>
          <w:sz w:val="20"/>
          <w:szCs w:val="20"/>
        </w:rPr>
      </w:pPr>
      <w:r w:rsidRPr="00274FAB">
        <w:rPr>
          <w:rFonts w:ascii="Arial" w:hAnsi="Arial" w:cs="Arial"/>
          <w:bCs/>
          <w:color w:val="000000"/>
          <w:sz w:val="20"/>
          <w:szCs w:val="20"/>
        </w:rPr>
        <w:t xml:space="preserve">Reference Link: </w:t>
      </w:r>
      <w:hyperlink r:id="rId310" w:history="1">
        <w:r w:rsidRPr="00321241">
          <w:rPr>
            <w:rStyle w:val="Hyperlink"/>
            <w:rFonts w:ascii="Arial" w:hAnsi="Arial" w:cs="Arial"/>
            <w:bCs/>
            <w:sz w:val="20"/>
            <w:szCs w:val="20"/>
          </w:rPr>
          <w:t>https://www.rbi.org.in/Scripts/NotificationUser.aspx?Id=12227&amp;Mode=0</w:t>
        </w:r>
      </w:hyperlink>
    </w:p>
    <w:p w:rsidR="00274FAB" w:rsidRPr="00274FAB" w:rsidRDefault="00274FAB" w:rsidP="00BE4BD6">
      <w:pPr>
        <w:spacing w:after="0"/>
        <w:jc w:val="both"/>
        <w:rPr>
          <w:rFonts w:ascii="Arial" w:hAnsi="Arial" w:cs="Arial"/>
          <w:bCs/>
          <w:color w:val="000000"/>
          <w:sz w:val="20"/>
          <w:szCs w:val="20"/>
        </w:rPr>
      </w:pPr>
    </w:p>
    <w:p w:rsidR="00274FAB" w:rsidRDefault="00274FAB" w:rsidP="00BE4BD6">
      <w:pPr>
        <w:spacing w:after="0"/>
        <w:jc w:val="both"/>
        <w:rPr>
          <w:rFonts w:ascii="Arial" w:hAnsi="Arial" w:cs="Arial"/>
          <w:b/>
          <w:bCs/>
          <w:color w:val="000000"/>
          <w:sz w:val="20"/>
          <w:szCs w:val="20"/>
        </w:rPr>
      </w:pPr>
    </w:p>
    <w:p w:rsidR="00274FAB" w:rsidRDefault="00274FAB" w:rsidP="00BE4BD6">
      <w:pPr>
        <w:spacing w:after="0"/>
        <w:jc w:val="both"/>
        <w:rPr>
          <w:rFonts w:ascii="Arial" w:hAnsi="Arial" w:cs="Arial"/>
          <w:b/>
          <w:bCs/>
          <w:color w:val="000000"/>
          <w:sz w:val="20"/>
          <w:szCs w:val="20"/>
        </w:rPr>
      </w:pPr>
    </w:p>
    <w:p w:rsidR="00274FAB" w:rsidRDefault="00274FAB" w:rsidP="00BE4BD6">
      <w:pPr>
        <w:spacing w:after="0"/>
        <w:jc w:val="both"/>
        <w:rPr>
          <w:rFonts w:ascii="Arial" w:hAnsi="Arial" w:cs="Arial"/>
          <w:b/>
          <w:bCs/>
          <w:color w:val="000000"/>
          <w:sz w:val="20"/>
          <w:szCs w:val="20"/>
        </w:rPr>
      </w:pPr>
    </w:p>
    <w:p w:rsidR="00274FAB" w:rsidRDefault="00274FAB" w:rsidP="00BE4BD6">
      <w:pPr>
        <w:spacing w:after="0"/>
        <w:jc w:val="both"/>
        <w:rPr>
          <w:rFonts w:ascii="Arial" w:hAnsi="Arial" w:cs="Arial"/>
          <w:b/>
          <w:bCs/>
          <w:color w:val="000000"/>
          <w:sz w:val="20"/>
          <w:szCs w:val="20"/>
        </w:rPr>
      </w:pPr>
    </w:p>
    <w:p w:rsidR="00274FAB" w:rsidRDefault="00274FAB" w:rsidP="00BE4BD6">
      <w:pPr>
        <w:spacing w:after="0"/>
        <w:jc w:val="both"/>
        <w:rPr>
          <w:rFonts w:ascii="Arial" w:hAnsi="Arial" w:cs="Arial"/>
          <w:b/>
          <w:bCs/>
          <w:color w:val="000000"/>
          <w:sz w:val="20"/>
          <w:szCs w:val="20"/>
        </w:rPr>
      </w:pPr>
    </w:p>
    <w:p w:rsidR="00274FAB" w:rsidRDefault="00274FAB" w:rsidP="00BE4BD6">
      <w:pPr>
        <w:spacing w:after="0"/>
        <w:jc w:val="both"/>
        <w:rPr>
          <w:rFonts w:ascii="Arial" w:hAnsi="Arial" w:cs="Arial"/>
          <w:b/>
          <w:bCs/>
          <w:color w:val="000000"/>
          <w:sz w:val="20"/>
          <w:szCs w:val="20"/>
        </w:rPr>
      </w:pPr>
    </w:p>
    <w:p w:rsidR="00274FAB" w:rsidRDefault="00274FAB" w:rsidP="00BE4BD6">
      <w:pPr>
        <w:spacing w:after="0"/>
        <w:jc w:val="both"/>
        <w:rPr>
          <w:rFonts w:ascii="Arial" w:hAnsi="Arial" w:cs="Arial"/>
          <w:b/>
          <w:bCs/>
          <w:color w:val="000000"/>
          <w:sz w:val="20"/>
          <w:szCs w:val="20"/>
        </w:rPr>
      </w:pPr>
    </w:p>
    <w:p w:rsidR="00274FAB" w:rsidRDefault="00274FAB" w:rsidP="00BE4BD6">
      <w:pPr>
        <w:spacing w:after="0"/>
        <w:jc w:val="both"/>
        <w:rPr>
          <w:rFonts w:ascii="Arial" w:hAnsi="Arial" w:cs="Arial"/>
          <w:b/>
          <w:bCs/>
          <w:color w:val="000000"/>
          <w:sz w:val="20"/>
          <w:szCs w:val="20"/>
        </w:rPr>
      </w:pPr>
    </w:p>
    <w:p w:rsidR="00274FAB" w:rsidRDefault="00274FAB" w:rsidP="00BE4BD6">
      <w:pPr>
        <w:spacing w:after="0"/>
        <w:jc w:val="both"/>
        <w:rPr>
          <w:rFonts w:ascii="Arial" w:hAnsi="Arial" w:cs="Arial"/>
          <w:b/>
          <w:bCs/>
          <w:color w:val="000000"/>
          <w:sz w:val="20"/>
          <w:szCs w:val="20"/>
        </w:rPr>
      </w:pPr>
    </w:p>
    <w:p w:rsidR="00274FAB" w:rsidRDefault="00274FAB" w:rsidP="00BE4BD6">
      <w:pPr>
        <w:spacing w:after="0"/>
        <w:jc w:val="both"/>
        <w:rPr>
          <w:rFonts w:ascii="Arial" w:hAnsi="Arial" w:cs="Arial"/>
          <w:b/>
          <w:bCs/>
          <w:color w:val="000000"/>
          <w:sz w:val="20"/>
          <w:szCs w:val="20"/>
        </w:rPr>
      </w:pPr>
    </w:p>
    <w:p w:rsidR="00274FAB" w:rsidRDefault="00274FAB" w:rsidP="00BE4BD6">
      <w:pPr>
        <w:spacing w:after="0"/>
        <w:jc w:val="both"/>
        <w:rPr>
          <w:rFonts w:ascii="Arial" w:hAnsi="Arial" w:cs="Arial"/>
          <w:b/>
          <w:bCs/>
          <w:color w:val="000000"/>
          <w:sz w:val="20"/>
          <w:szCs w:val="20"/>
        </w:rPr>
      </w:pPr>
    </w:p>
    <w:p w:rsidR="00274FAB" w:rsidRDefault="00274FAB" w:rsidP="00BE4BD6">
      <w:pPr>
        <w:spacing w:after="0"/>
        <w:jc w:val="both"/>
        <w:rPr>
          <w:rFonts w:ascii="Arial" w:hAnsi="Arial" w:cs="Arial"/>
          <w:b/>
          <w:bCs/>
          <w:color w:val="000000"/>
          <w:sz w:val="20"/>
          <w:szCs w:val="20"/>
        </w:rPr>
      </w:pPr>
    </w:p>
    <w:p w:rsidR="00536CF8" w:rsidRDefault="00536CF8" w:rsidP="00BE4BD6">
      <w:pPr>
        <w:spacing w:after="0"/>
        <w:jc w:val="both"/>
        <w:rPr>
          <w:rFonts w:ascii="Arial" w:hAnsi="Arial" w:cs="Arial"/>
          <w:b/>
          <w:bCs/>
          <w:color w:val="000000"/>
          <w:sz w:val="20"/>
          <w:szCs w:val="20"/>
        </w:rPr>
      </w:pPr>
    </w:p>
    <w:p w:rsidR="00DA36B4" w:rsidRPr="00470480" w:rsidRDefault="00DA36B4"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(Credit Derivatives) Directions, 2022</w:t>
      </w:r>
    </w:p>
    <w:p w:rsidR="00DA36B4" w:rsidRPr="00470480" w:rsidRDefault="00DA36B4" w:rsidP="00BE4BD6">
      <w:pPr>
        <w:spacing w:after="0"/>
        <w:jc w:val="both"/>
        <w:rPr>
          <w:rFonts w:ascii="Arial" w:hAnsi="Arial" w:cs="Arial"/>
          <w:b/>
          <w:bCs/>
          <w:color w:val="000000"/>
          <w:sz w:val="20"/>
          <w:szCs w:val="20"/>
        </w:rPr>
      </w:pP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RBI/2021-22/88</w:t>
      </w:r>
      <w:r w:rsidRPr="00470480">
        <w:rPr>
          <w:rFonts w:ascii="Arial" w:hAnsi="Arial" w:cs="Arial"/>
          <w:color w:val="000000"/>
          <w:sz w:val="20"/>
          <w:szCs w:val="20"/>
        </w:rPr>
        <w:br/>
        <w:t>FMRD.DIRD.10/14.03.004/2021-22</w:t>
      </w:r>
    </w:p>
    <w:p w:rsidR="00DA36B4" w:rsidRPr="00470480" w:rsidRDefault="00DA36B4" w:rsidP="00DA36B4">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To,</w:t>
      </w:r>
      <w:r w:rsidRPr="00470480">
        <w:rPr>
          <w:rFonts w:ascii="Arial" w:hAnsi="Arial" w:cs="Arial"/>
          <w:color w:val="000000"/>
          <w:sz w:val="20"/>
          <w:szCs w:val="20"/>
        </w:rPr>
        <w:br/>
        <w:t>All Eligible Market Participants</w:t>
      </w: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Madam/Sir,</w:t>
      </w:r>
    </w:p>
    <w:p w:rsidR="00DA36B4" w:rsidRPr="00470480" w:rsidRDefault="00DA36B4" w:rsidP="00DA36B4">
      <w:pPr>
        <w:pStyle w:val="head"/>
        <w:jc w:val="center"/>
        <w:rPr>
          <w:rFonts w:ascii="Arial" w:hAnsi="Arial" w:cs="Arial"/>
          <w:b/>
          <w:bCs/>
          <w:color w:val="000000"/>
          <w:sz w:val="20"/>
          <w:szCs w:val="20"/>
        </w:rPr>
      </w:pPr>
      <w:r w:rsidRPr="00470480">
        <w:rPr>
          <w:rFonts w:ascii="Arial" w:hAnsi="Arial" w:cs="Arial"/>
          <w:b/>
          <w:bCs/>
          <w:color w:val="000000"/>
          <w:sz w:val="20"/>
          <w:szCs w:val="20"/>
        </w:rPr>
        <w:t>Master Direction – Reserve Bank of India (Credit Derivatives) Directions, 2022</w:t>
      </w: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4 of the </w:t>
      </w:r>
      <w:hyperlink r:id="rId311"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announced as a part of the </w:t>
      </w:r>
      <w:hyperlink r:id="rId312" w:tgtFrame="_blank" w:history="1">
        <w:r w:rsidRPr="00470480">
          <w:rPr>
            <w:rStyle w:val="Hyperlink"/>
            <w:rFonts w:ascii="Arial" w:hAnsi="Arial" w:cs="Arial"/>
            <w:sz w:val="20"/>
            <w:szCs w:val="20"/>
          </w:rPr>
          <w:t>Bi-monthly Monetary Policy Statement for 2021-22 dated February 10, 2022</w:t>
        </w:r>
      </w:hyperlink>
      <w:r w:rsidRPr="00470480">
        <w:rPr>
          <w:rFonts w:ascii="Arial" w:hAnsi="Arial" w:cs="Arial"/>
          <w:color w:val="000000"/>
          <w:sz w:val="20"/>
          <w:szCs w:val="20"/>
        </w:rPr>
        <w:t>, regarding review of the Credit Default Swaps (CDS) Guidelines.</w:t>
      </w: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2. The draft Reserve Bank of India (Credit Derivatives) Directions, 2021 were released for public comments on </w:t>
      </w:r>
      <w:hyperlink r:id="rId313" w:tgtFrame="_blank" w:history="1">
        <w:r w:rsidRPr="00470480">
          <w:rPr>
            <w:rStyle w:val="Hyperlink"/>
            <w:rFonts w:ascii="Arial" w:hAnsi="Arial" w:cs="Arial"/>
            <w:sz w:val="20"/>
            <w:szCs w:val="20"/>
          </w:rPr>
          <w:t>February 16, 2021</w:t>
        </w:r>
      </w:hyperlink>
      <w:r w:rsidRPr="00470480">
        <w:rPr>
          <w:rFonts w:ascii="Arial" w:hAnsi="Arial" w:cs="Arial"/>
          <w:color w:val="000000"/>
          <w:sz w:val="20"/>
          <w:szCs w:val="20"/>
        </w:rPr>
        <w:t>. Based on the feedback received from the market participants, the draft Directions were reviewed and have since been finalised. The Master Direction – Reserve Bank of India (Credit Derivatives) Directions, 2022 are </w:t>
      </w:r>
      <w:hyperlink r:id="rId314" w:anchor="MD" w:history="1">
        <w:r w:rsidRPr="00470480">
          <w:rPr>
            <w:rStyle w:val="Hyperlink"/>
            <w:rFonts w:ascii="Arial" w:hAnsi="Arial" w:cs="Arial"/>
            <w:sz w:val="20"/>
            <w:szCs w:val="20"/>
          </w:rPr>
          <w:t>enclosed</w:t>
        </w:r>
      </w:hyperlink>
      <w:r w:rsidRPr="00470480">
        <w:rPr>
          <w:rFonts w:ascii="Arial" w:hAnsi="Arial" w:cs="Arial"/>
          <w:color w:val="000000"/>
          <w:sz w:val="20"/>
          <w:szCs w:val="20"/>
        </w:rPr>
        <w:t> herewith.</w:t>
      </w:r>
    </w:p>
    <w:p w:rsidR="00DA36B4" w:rsidRPr="00470480" w:rsidRDefault="00DA36B4" w:rsidP="00DA36B4">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DA36B4" w:rsidRPr="00470480" w:rsidRDefault="00DA36B4" w:rsidP="00DA36B4">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2E3BA0" w:rsidRDefault="002E3BA0" w:rsidP="00BE4BD6">
      <w:pPr>
        <w:spacing w:after="0"/>
        <w:jc w:val="both"/>
        <w:rPr>
          <w:rFonts w:ascii="Arial" w:hAnsi="Arial" w:cs="Arial"/>
          <w:sz w:val="20"/>
          <w:szCs w:val="20"/>
        </w:rPr>
      </w:pPr>
    </w:p>
    <w:p w:rsidR="002E3BA0" w:rsidRDefault="002E3BA0" w:rsidP="00BE4BD6">
      <w:pPr>
        <w:spacing w:after="0"/>
        <w:jc w:val="both"/>
        <w:rPr>
          <w:rFonts w:ascii="Arial" w:hAnsi="Arial" w:cs="Arial"/>
          <w:sz w:val="20"/>
          <w:szCs w:val="20"/>
        </w:rPr>
      </w:pPr>
    </w:p>
    <w:p w:rsidR="002E3BA0" w:rsidRDefault="002E3BA0" w:rsidP="00BE4BD6">
      <w:pPr>
        <w:spacing w:after="0"/>
        <w:jc w:val="both"/>
        <w:rPr>
          <w:rFonts w:ascii="Arial" w:hAnsi="Arial" w:cs="Arial"/>
          <w:sz w:val="20"/>
          <w:szCs w:val="20"/>
        </w:rPr>
      </w:pPr>
    </w:p>
    <w:p w:rsidR="002E3BA0" w:rsidRDefault="002E3BA0" w:rsidP="00BE4BD6">
      <w:pPr>
        <w:spacing w:after="0"/>
        <w:jc w:val="both"/>
        <w:rPr>
          <w:rFonts w:ascii="Arial" w:hAnsi="Arial" w:cs="Arial"/>
          <w:sz w:val="20"/>
          <w:szCs w:val="20"/>
        </w:rPr>
      </w:pPr>
      <w:r>
        <w:rPr>
          <w:rFonts w:ascii="Arial" w:hAnsi="Arial" w:cs="Arial"/>
          <w:sz w:val="20"/>
          <w:szCs w:val="20"/>
        </w:rPr>
        <w:t>For the detailed Master Direction, refer to the link below.</w:t>
      </w:r>
    </w:p>
    <w:p w:rsidR="00DA36B4" w:rsidRPr="00470480" w:rsidRDefault="00DA36B4"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315" w:history="1">
        <w:r w:rsidRPr="00470480">
          <w:rPr>
            <w:rStyle w:val="Hyperlink"/>
            <w:rFonts w:ascii="Arial" w:hAnsi="Arial" w:cs="Arial"/>
            <w:sz w:val="20"/>
            <w:szCs w:val="20"/>
          </w:rPr>
          <w:t>https://www.rbi.org.in/Scripts/NotificationUser.aspx?Id=12226&amp;Mode=0</w:t>
        </w:r>
      </w:hyperlink>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DA36B4" w:rsidRPr="00470480" w:rsidRDefault="00DA36B4" w:rsidP="00BE4BD6">
      <w:pPr>
        <w:spacing w:after="0"/>
        <w:jc w:val="both"/>
        <w:rPr>
          <w:rFonts w:ascii="Arial" w:hAnsi="Arial" w:cs="Arial"/>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DA36B4" w:rsidRPr="00470480" w:rsidRDefault="00DA36B4"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Master Circular - Asset Reconstruction Companies</w:t>
      </w:r>
    </w:p>
    <w:p w:rsidR="00DA36B4" w:rsidRPr="00470480" w:rsidRDefault="00DA36B4" w:rsidP="00BE4BD6">
      <w:pPr>
        <w:spacing w:after="0"/>
        <w:jc w:val="both"/>
        <w:rPr>
          <w:rFonts w:ascii="Arial" w:hAnsi="Arial" w:cs="Arial"/>
          <w:b/>
          <w:bCs/>
          <w:color w:val="000000"/>
          <w:sz w:val="20"/>
          <w:szCs w:val="20"/>
        </w:rPr>
      </w:pP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RBI/2021-22/154</w:t>
      </w:r>
      <w:r w:rsidRPr="00470480">
        <w:rPr>
          <w:rFonts w:ascii="Arial" w:hAnsi="Arial" w:cs="Arial"/>
          <w:color w:val="000000"/>
          <w:sz w:val="20"/>
          <w:szCs w:val="20"/>
        </w:rPr>
        <w:br/>
        <w:t>DOR.SIG.FIN.REC 84/26.03.001/2021-22</w:t>
      </w:r>
    </w:p>
    <w:p w:rsidR="00DA36B4" w:rsidRPr="00470480" w:rsidRDefault="00CA5815" w:rsidP="00DA36B4">
      <w:pPr>
        <w:pStyle w:val="NormalWeb"/>
        <w:jc w:val="right"/>
        <w:rPr>
          <w:rFonts w:ascii="Arial" w:hAnsi="Arial" w:cs="Arial"/>
          <w:color w:val="000000"/>
          <w:sz w:val="20"/>
          <w:szCs w:val="20"/>
        </w:rPr>
      </w:pPr>
      <w:r w:rsidRPr="00470480">
        <w:rPr>
          <w:rFonts w:ascii="Arial" w:hAnsi="Arial" w:cs="Arial"/>
          <w:color w:val="000000"/>
          <w:sz w:val="20"/>
          <w:szCs w:val="20"/>
        </w:rPr>
        <w:t>February</w:t>
      </w:r>
      <w:r w:rsidR="00DA36B4" w:rsidRPr="00470480">
        <w:rPr>
          <w:rFonts w:ascii="Arial" w:hAnsi="Arial" w:cs="Arial"/>
          <w:color w:val="000000"/>
          <w:sz w:val="20"/>
          <w:szCs w:val="20"/>
        </w:rPr>
        <w:t xml:space="preserve"> 10, 2022</w:t>
      </w: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All Asset Reconstruction Companies</w:t>
      </w: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DA36B4" w:rsidRPr="00470480" w:rsidRDefault="00DA36B4" w:rsidP="00DA36B4">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Asset Reconstruction Companies</w:t>
      </w:r>
    </w:p>
    <w:p w:rsidR="00DA36B4" w:rsidRPr="00470480" w:rsidRDefault="00DA36B4" w:rsidP="00DA36B4">
      <w:pPr>
        <w:pStyle w:val="NormalWeb"/>
        <w:jc w:val="both"/>
        <w:rPr>
          <w:rFonts w:ascii="Arial" w:hAnsi="Arial" w:cs="Arial"/>
          <w:color w:val="000000"/>
          <w:sz w:val="20"/>
          <w:szCs w:val="20"/>
        </w:rPr>
      </w:pPr>
      <w:r w:rsidRPr="00470480">
        <w:rPr>
          <w:rFonts w:ascii="Arial" w:hAnsi="Arial" w:cs="Arial"/>
          <w:color w:val="000000"/>
          <w:sz w:val="20"/>
          <w:szCs w:val="20"/>
        </w:rPr>
        <w:t>In order to have all current instructions/guidelines on the subject at one place, the Reserve Bank of India issues updated </w:t>
      </w:r>
      <w:hyperlink r:id="rId316" w:anchor="MC1" w:history="1">
        <w:r w:rsidRPr="00470480">
          <w:rPr>
            <w:rStyle w:val="Hyperlink"/>
            <w:rFonts w:ascii="Arial" w:hAnsi="Arial" w:cs="Arial"/>
            <w:sz w:val="20"/>
            <w:szCs w:val="20"/>
          </w:rPr>
          <w:t>circulars/guidelines</w:t>
        </w:r>
      </w:hyperlink>
      <w:r w:rsidRPr="00470480">
        <w:rPr>
          <w:rFonts w:ascii="Arial" w:hAnsi="Arial" w:cs="Arial"/>
          <w:color w:val="000000"/>
          <w:sz w:val="20"/>
          <w:szCs w:val="20"/>
        </w:rPr>
        <w:t>. The instructions contained in The Asset Reconstruction Companies (Reserve Bank) Guidelines and Directions, 2003 (vide </w:t>
      </w:r>
      <w:hyperlink r:id="rId317" w:tgtFrame="_blank" w:history="1">
        <w:r w:rsidRPr="00470480">
          <w:rPr>
            <w:rStyle w:val="Hyperlink"/>
            <w:rFonts w:ascii="Arial" w:hAnsi="Arial" w:cs="Arial"/>
            <w:sz w:val="20"/>
            <w:szCs w:val="20"/>
          </w:rPr>
          <w:t>Notification No.DNBS.2/CGM(CSM)-2003, dated April 23, 2003</w:t>
        </w:r>
      </w:hyperlink>
      <w:r w:rsidRPr="00470480">
        <w:rPr>
          <w:rFonts w:ascii="Arial" w:hAnsi="Arial" w:cs="Arial"/>
          <w:color w:val="000000"/>
          <w:sz w:val="20"/>
          <w:szCs w:val="20"/>
        </w:rPr>
        <w:t>) together with </w:t>
      </w:r>
      <w:hyperlink r:id="rId318" w:anchor="Guidance" w:history="1">
        <w:r w:rsidRPr="00470480">
          <w:rPr>
            <w:rStyle w:val="Hyperlink"/>
            <w:rFonts w:ascii="Arial" w:hAnsi="Arial" w:cs="Arial"/>
            <w:sz w:val="20"/>
            <w:szCs w:val="20"/>
          </w:rPr>
          <w:t>Guidance Notes</w:t>
        </w:r>
      </w:hyperlink>
      <w:r w:rsidRPr="00470480">
        <w:rPr>
          <w:rFonts w:ascii="Arial" w:hAnsi="Arial" w:cs="Arial"/>
          <w:color w:val="000000"/>
          <w:sz w:val="20"/>
          <w:szCs w:val="20"/>
        </w:rPr>
        <w:t> updated as on January 31, 2022 are reproduced below.</w:t>
      </w:r>
    </w:p>
    <w:p w:rsidR="00DA36B4" w:rsidRPr="00470480" w:rsidRDefault="00DA36B4" w:rsidP="00DA36B4">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DA36B4" w:rsidRPr="00470480" w:rsidRDefault="00DA36B4" w:rsidP="00DA36B4">
      <w:pPr>
        <w:pStyle w:val="NormalWeb"/>
        <w:jc w:val="right"/>
        <w:rPr>
          <w:rFonts w:ascii="Arial" w:hAnsi="Arial" w:cs="Arial"/>
          <w:color w:val="000000"/>
          <w:sz w:val="20"/>
          <w:szCs w:val="20"/>
        </w:rPr>
      </w:pPr>
      <w:r w:rsidRPr="00470480">
        <w:rPr>
          <w:rFonts w:ascii="Arial" w:hAnsi="Arial" w:cs="Arial"/>
          <w:color w:val="000000"/>
          <w:sz w:val="20"/>
          <w:szCs w:val="20"/>
        </w:rPr>
        <w:t>(J P Sharma)</w:t>
      </w:r>
      <w:r w:rsidRPr="00470480">
        <w:rPr>
          <w:rFonts w:ascii="Arial" w:hAnsi="Arial" w:cs="Arial"/>
          <w:color w:val="000000"/>
          <w:sz w:val="20"/>
          <w:szCs w:val="20"/>
        </w:rPr>
        <w:br/>
        <w:t>Chief General Manager</w:t>
      </w:r>
    </w:p>
    <w:p w:rsidR="002E3BA0" w:rsidRDefault="002E3BA0" w:rsidP="00BE4BD6">
      <w:pPr>
        <w:spacing w:after="0"/>
        <w:jc w:val="both"/>
        <w:rPr>
          <w:rFonts w:ascii="Arial" w:hAnsi="Arial" w:cs="Arial"/>
          <w:sz w:val="20"/>
          <w:szCs w:val="20"/>
        </w:rPr>
      </w:pPr>
    </w:p>
    <w:p w:rsidR="002E3BA0" w:rsidRDefault="002E3BA0" w:rsidP="00BE4BD6">
      <w:pPr>
        <w:spacing w:after="0"/>
        <w:jc w:val="both"/>
        <w:rPr>
          <w:rFonts w:ascii="Arial" w:hAnsi="Arial" w:cs="Arial"/>
          <w:sz w:val="20"/>
          <w:szCs w:val="20"/>
        </w:rPr>
      </w:pPr>
    </w:p>
    <w:p w:rsidR="002E3BA0" w:rsidRDefault="002E3BA0" w:rsidP="00BE4BD6">
      <w:pPr>
        <w:spacing w:after="0"/>
        <w:jc w:val="both"/>
        <w:rPr>
          <w:rFonts w:ascii="Arial" w:hAnsi="Arial" w:cs="Arial"/>
          <w:sz w:val="20"/>
          <w:szCs w:val="20"/>
        </w:rPr>
      </w:pPr>
      <w:r>
        <w:rPr>
          <w:rFonts w:ascii="Arial" w:hAnsi="Arial" w:cs="Arial"/>
          <w:sz w:val="20"/>
          <w:szCs w:val="20"/>
        </w:rPr>
        <w:t>For the detailed Master Circular, refer to the link below.</w:t>
      </w:r>
    </w:p>
    <w:p w:rsidR="00DA36B4" w:rsidRPr="00470480" w:rsidRDefault="00DA36B4"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319" w:history="1">
        <w:r w:rsidRPr="00470480">
          <w:rPr>
            <w:rStyle w:val="Hyperlink"/>
            <w:rFonts w:ascii="Arial" w:hAnsi="Arial" w:cs="Arial"/>
            <w:sz w:val="20"/>
            <w:szCs w:val="20"/>
          </w:rPr>
          <w:t>https://www.rbi.org.in/Scripts/NotificationUser.aspx?Id=12225&amp;Mode=0</w:t>
        </w:r>
      </w:hyperlink>
    </w:p>
    <w:p w:rsidR="00DA36B4" w:rsidRPr="00470480" w:rsidRDefault="00DA36B4" w:rsidP="00BE4BD6">
      <w:pPr>
        <w:spacing w:after="0"/>
        <w:jc w:val="both"/>
        <w:rPr>
          <w:rFonts w:ascii="Arial" w:hAnsi="Arial" w:cs="Arial"/>
          <w:sz w:val="20"/>
          <w:szCs w:val="20"/>
        </w:rPr>
      </w:pPr>
    </w:p>
    <w:p w:rsidR="00DD06BC" w:rsidRPr="00470480" w:rsidRDefault="00DD06BC" w:rsidP="00BE4BD6">
      <w:pPr>
        <w:spacing w:after="0"/>
        <w:jc w:val="both"/>
        <w:rPr>
          <w:rFonts w:ascii="Arial" w:hAnsi="Arial" w:cs="Arial"/>
          <w:sz w:val="20"/>
          <w:szCs w:val="20"/>
        </w:rPr>
      </w:pPr>
    </w:p>
    <w:p w:rsidR="00DD06BC" w:rsidRPr="00470480" w:rsidRDefault="00DD06BC" w:rsidP="00BE4BD6">
      <w:pPr>
        <w:spacing w:after="0"/>
        <w:jc w:val="both"/>
        <w:rPr>
          <w:rFonts w:ascii="Arial" w:hAnsi="Arial" w:cs="Arial"/>
          <w:sz w:val="20"/>
          <w:szCs w:val="20"/>
        </w:rPr>
      </w:pPr>
    </w:p>
    <w:p w:rsidR="00DD06BC" w:rsidRPr="00470480" w:rsidRDefault="00DD06BC" w:rsidP="00BE4BD6">
      <w:pPr>
        <w:spacing w:after="0"/>
        <w:jc w:val="both"/>
        <w:rPr>
          <w:rFonts w:ascii="Arial" w:hAnsi="Arial" w:cs="Arial"/>
          <w:sz w:val="20"/>
          <w:szCs w:val="20"/>
        </w:rPr>
      </w:pPr>
    </w:p>
    <w:p w:rsidR="00DD06BC" w:rsidRPr="00470480" w:rsidRDefault="00DD06BC" w:rsidP="00BE4BD6">
      <w:pPr>
        <w:spacing w:after="0"/>
        <w:jc w:val="both"/>
        <w:rPr>
          <w:rFonts w:ascii="Arial" w:hAnsi="Arial" w:cs="Arial"/>
          <w:sz w:val="20"/>
          <w:szCs w:val="20"/>
        </w:rPr>
      </w:pPr>
    </w:p>
    <w:p w:rsidR="00DD06BC" w:rsidRPr="00470480" w:rsidRDefault="00DD06BC" w:rsidP="00BE4BD6">
      <w:pPr>
        <w:spacing w:after="0"/>
        <w:jc w:val="both"/>
        <w:rPr>
          <w:rFonts w:ascii="Arial" w:hAnsi="Arial" w:cs="Arial"/>
          <w:sz w:val="20"/>
          <w:szCs w:val="20"/>
        </w:rPr>
      </w:pPr>
    </w:p>
    <w:p w:rsidR="00DD06BC" w:rsidRPr="00470480" w:rsidRDefault="00DD06BC" w:rsidP="00BE4BD6">
      <w:pPr>
        <w:spacing w:after="0"/>
        <w:jc w:val="both"/>
        <w:rPr>
          <w:rFonts w:ascii="Arial" w:hAnsi="Arial" w:cs="Arial"/>
          <w:sz w:val="20"/>
          <w:szCs w:val="20"/>
        </w:rPr>
      </w:pPr>
    </w:p>
    <w:p w:rsidR="00DD06BC" w:rsidRPr="00470480" w:rsidRDefault="00DD06BC" w:rsidP="00BE4BD6">
      <w:pPr>
        <w:spacing w:after="0"/>
        <w:jc w:val="both"/>
        <w:rPr>
          <w:rFonts w:ascii="Arial" w:hAnsi="Arial" w:cs="Arial"/>
          <w:sz w:val="20"/>
          <w:szCs w:val="20"/>
        </w:rPr>
      </w:pPr>
    </w:p>
    <w:p w:rsidR="00DD06BC" w:rsidRPr="00470480" w:rsidRDefault="00DD06BC" w:rsidP="00BE4BD6">
      <w:pPr>
        <w:spacing w:after="0"/>
        <w:jc w:val="both"/>
        <w:rPr>
          <w:rFonts w:ascii="Arial" w:hAnsi="Arial" w:cs="Arial"/>
          <w:sz w:val="20"/>
          <w:szCs w:val="20"/>
        </w:rPr>
      </w:pPr>
    </w:p>
    <w:p w:rsidR="007F311D" w:rsidRDefault="007F311D" w:rsidP="00BE4BD6">
      <w:pPr>
        <w:spacing w:after="0"/>
        <w:jc w:val="both"/>
        <w:rPr>
          <w:rFonts w:ascii="Arial" w:hAnsi="Arial" w:cs="Arial"/>
          <w:b/>
          <w:bCs/>
          <w:color w:val="000000"/>
          <w:sz w:val="20"/>
          <w:szCs w:val="20"/>
        </w:rPr>
      </w:pPr>
    </w:p>
    <w:p w:rsidR="007F311D" w:rsidRDefault="007F311D"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2E3BA0" w:rsidRDefault="002E3BA0" w:rsidP="00BE4BD6">
      <w:pPr>
        <w:spacing w:after="0"/>
        <w:jc w:val="both"/>
        <w:rPr>
          <w:rFonts w:ascii="Arial" w:hAnsi="Arial" w:cs="Arial"/>
          <w:b/>
          <w:bCs/>
          <w:color w:val="000000"/>
          <w:sz w:val="20"/>
          <w:szCs w:val="20"/>
        </w:rPr>
      </w:pPr>
    </w:p>
    <w:p w:rsidR="00DD06BC" w:rsidRPr="00470480" w:rsidRDefault="004107B0" w:rsidP="00BE4BD6">
      <w:pPr>
        <w:spacing w:after="0"/>
        <w:jc w:val="both"/>
        <w:rPr>
          <w:rFonts w:ascii="Arial" w:hAnsi="Arial" w:cs="Arial"/>
          <w:sz w:val="20"/>
          <w:szCs w:val="20"/>
        </w:rPr>
      </w:pPr>
      <w:r w:rsidRPr="00470480">
        <w:rPr>
          <w:rFonts w:ascii="Arial" w:hAnsi="Arial" w:cs="Arial"/>
          <w:b/>
          <w:bCs/>
          <w:color w:val="000000"/>
          <w:sz w:val="20"/>
          <w:szCs w:val="20"/>
        </w:rPr>
        <w:t>Registration of Assignment of Receivables (Reserve Bank) Regulations, 2022</w:t>
      </w:r>
    </w:p>
    <w:p w:rsidR="00DD06BC" w:rsidRPr="00470480" w:rsidRDefault="00DD06BC" w:rsidP="00BE4BD6">
      <w:pPr>
        <w:spacing w:after="0"/>
        <w:jc w:val="both"/>
        <w:rPr>
          <w:rFonts w:ascii="Arial" w:hAnsi="Arial" w:cs="Arial"/>
          <w:sz w:val="20"/>
          <w:szCs w:val="20"/>
        </w:rPr>
      </w:pPr>
    </w:p>
    <w:p w:rsidR="004107B0" w:rsidRPr="00470480" w:rsidRDefault="004107B0" w:rsidP="004107B0">
      <w:pPr>
        <w:pStyle w:val="head"/>
        <w:jc w:val="center"/>
        <w:rPr>
          <w:rFonts w:ascii="Arial" w:hAnsi="Arial" w:cs="Arial"/>
          <w:b/>
          <w:bCs/>
          <w:color w:val="000000"/>
          <w:sz w:val="20"/>
          <w:szCs w:val="20"/>
        </w:rPr>
      </w:pPr>
      <w:r w:rsidRPr="00470480">
        <w:rPr>
          <w:rFonts w:ascii="Arial" w:hAnsi="Arial" w:cs="Arial"/>
          <w:b/>
          <w:bCs/>
          <w:color w:val="000000"/>
          <w:sz w:val="20"/>
          <w:szCs w:val="20"/>
        </w:rPr>
        <w:t>RESERVE BANK OF INDIA</w:t>
      </w:r>
      <w:r w:rsidRPr="00470480">
        <w:rPr>
          <w:rFonts w:ascii="Arial" w:hAnsi="Arial" w:cs="Arial"/>
          <w:b/>
          <w:bCs/>
          <w:color w:val="000000"/>
          <w:sz w:val="20"/>
          <w:szCs w:val="20"/>
        </w:rPr>
        <w:br/>
        <w:t>DEPARTMENT OF REGULATION</w:t>
      </w:r>
      <w:r w:rsidRPr="00470480">
        <w:rPr>
          <w:rFonts w:ascii="Arial" w:hAnsi="Arial" w:cs="Arial"/>
          <w:b/>
          <w:bCs/>
          <w:color w:val="000000"/>
          <w:sz w:val="20"/>
          <w:szCs w:val="20"/>
        </w:rPr>
        <w:br/>
        <w:t>CENTRAL OFFICE</w:t>
      </w:r>
      <w:r w:rsidRPr="00470480">
        <w:rPr>
          <w:rFonts w:ascii="Arial" w:hAnsi="Arial" w:cs="Arial"/>
          <w:b/>
          <w:bCs/>
          <w:color w:val="000000"/>
          <w:sz w:val="20"/>
          <w:szCs w:val="20"/>
        </w:rPr>
        <w:br/>
        <w:t>MUMBAI 400 001</w:t>
      </w:r>
    </w:p>
    <w:p w:rsidR="004107B0" w:rsidRPr="00470480" w:rsidRDefault="004107B0" w:rsidP="004107B0">
      <w:pPr>
        <w:pStyle w:val="head"/>
        <w:jc w:val="both"/>
        <w:rPr>
          <w:rFonts w:ascii="Arial" w:hAnsi="Arial" w:cs="Arial"/>
          <w:b/>
          <w:bCs/>
          <w:color w:val="000000"/>
          <w:sz w:val="20"/>
          <w:szCs w:val="20"/>
        </w:rPr>
      </w:pPr>
      <w:r w:rsidRPr="00470480">
        <w:rPr>
          <w:rFonts w:ascii="Arial" w:hAnsi="Arial" w:cs="Arial"/>
          <w:b/>
          <w:bCs/>
          <w:color w:val="000000"/>
          <w:sz w:val="20"/>
          <w:szCs w:val="20"/>
        </w:rPr>
        <w:t>Notification No. DOR.FIN.081/CGM(JPS) – 2022</w:t>
      </w:r>
    </w:p>
    <w:p w:rsidR="004107B0" w:rsidRPr="00470480" w:rsidRDefault="004107B0" w:rsidP="004107B0">
      <w:pPr>
        <w:pStyle w:val="head"/>
        <w:jc w:val="right"/>
        <w:rPr>
          <w:rFonts w:ascii="Arial" w:hAnsi="Arial" w:cs="Arial"/>
          <w:b/>
          <w:bCs/>
          <w:color w:val="000000"/>
          <w:sz w:val="20"/>
          <w:szCs w:val="20"/>
        </w:rPr>
      </w:pPr>
      <w:r w:rsidRPr="00470480">
        <w:rPr>
          <w:rFonts w:ascii="Arial" w:hAnsi="Arial" w:cs="Arial"/>
          <w:b/>
          <w:bCs/>
          <w:color w:val="000000"/>
          <w:sz w:val="20"/>
          <w:szCs w:val="20"/>
        </w:rPr>
        <w:t>January 14, 2022</w:t>
      </w:r>
    </w:p>
    <w:p w:rsidR="004107B0" w:rsidRPr="00470480" w:rsidRDefault="004107B0" w:rsidP="004107B0">
      <w:pPr>
        <w:pStyle w:val="head"/>
        <w:jc w:val="center"/>
        <w:rPr>
          <w:rFonts w:ascii="Arial" w:hAnsi="Arial" w:cs="Arial"/>
          <w:b/>
          <w:bCs/>
          <w:color w:val="000000"/>
          <w:sz w:val="20"/>
          <w:szCs w:val="20"/>
        </w:rPr>
      </w:pPr>
      <w:r w:rsidRPr="00470480">
        <w:rPr>
          <w:rFonts w:ascii="Arial" w:hAnsi="Arial" w:cs="Arial"/>
          <w:b/>
          <w:bCs/>
          <w:color w:val="000000"/>
          <w:sz w:val="20"/>
          <w:szCs w:val="20"/>
        </w:rPr>
        <w:t>Registration of Assignment of Receivables (Reserve Bank) Regulations, 2022</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In exercise of the powers conferred by section 19 (1A) read with Section 31A of the Factoring Regulation Act, 2011 (12 of 2012), the Reserve Bank of India, hereby makes the following regulations pertaining to the manner of filing of particulars of transactions with the Central Registry by a Trade Receivable Discounting System (</w:t>
      </w:r>
      <w:proofErr w:type="spellStart"/>
      <w:r w:rsidRPr="00470480">
        <w:rPr>
          <w:rFonts w:ascii="Arial" w:hAnsi="Arial" w:cs="Arial"/>
          <w:color w:val="000000"/>
          <w:sz w:val="20"/>
          <w:szCs w:val="20"/>
        </w:rPr>
        <w:t>TReDS</w:t>
      </w:r>
      <w:proofErr w:type="spellEnd"/>
      <w:r w:rsidRPr="00470480">
        <w:rPr>
          <w:rFonts w:ascii="Arial" w:hAnsi="Arial" w:cs="Arial"/>
          <w:color w:val="000000"/>
          <w:sz w:val="20"/>
          <w:szCs w:val="20"/>
        </w:rPr>
        <w:t>) on behalf of Factors.</w:t>
      </w:r>
    </w:p>
    <w:p w:rsidR="004107B0" w:rsidRPr="00470480" w:rsidRDefault="004107B0" w:rsidP="004107B0">
      <w:pPr>
        <w:pStyle w:val="head"/>
        <w:jc w:val="both"/>
        <w:rPr>
          <w:rFonts w:ascii="Arial" w:hAnsi="Arial" w:cs="Arial"/>
          <w:b/>
          <w:bCs/>
          <w:color w:val="000000"/>
          <w:sz w:val="20"/>
          <w:szCs w:val="20"/>
        </w:rPr>
      </w:pPr>
      <w:r w:rsidRPr="00470480">
        <w:rPr>
          <w:rFonts w:ascii="Arial" w:hAnsi="Arial" w:cs="Arial"/>
          <w:b/>
          <w:bCs/>
          <w:color w:val="000000"/>
          <w:sz w:val="20"/>
          <w:szCs w:val="20"/>
        </w:rPr>
        <w:t>1. Short title and commencement</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(1) These regulations may be called the Registration of Assignment of Receivables (Reserve Bank) Regulations, 2022.</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(2) These regulations shall come into force on the date of their publication in the Official Gazette.</w:t>
      </w:r>
    </w:p>
    <w:p w:rsidR="004107B0" w:rsidRPr="00470480" w:rsidRDefault="004107B0" w:rsidP="004107B0">
      <w:pPr>
        <w:pStyle w:val="head"/>
        <w:jc w:val="both"/>
        <w:rPr>
          <w:rFonts w:ascii="Arial" w:hAnsi="Arial" w:cs="Arial"/>
          <w:b/>
          <w:bCs/>
          <w:color w:val="000000"/>
          <w:sz w:val="20"/>
          <w:szCs w:val="20"/>
        </w:rPr>
      </w:pPr>
      <w:r w:rsidRPr="00470480">
        <w:rPr>
          <w:rFonts w:ascii="Arial" w:hAnsi="Arial" w:cs="Arial"/>
          <w:b/>
          <w:bCs/>
          <w:color w:val="000000"/>
          <w:sz w:val="20"/>
          <w:szCs w:val="20"/>
        </w:rPr>
        <w:t>2. Definitions</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For the purpose of these regulations, unless the context otherwise requires:</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(1) “Act” means the Factoring Regulation Act, 2011 (12 of 2012);</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(2) “Central Registrar” means a person appointed as such under subsection (1) of section 21 of the Securitisation and Reconstruction of Financial Assets and Enforcement of Security Interest Act, 2002 (54 of 2002);</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(3) “Central Registry” means the Central Registry set up under section 20 of the Securitisation and Reconstruction of Financial Assets and Enforcement of Security Interest Act, 2002 (54 of 2002).</w:t>
      </w:r>
    </w:p>
    <w:p w:rsidR="002E3BA0" w:rsidRDefault="002E3BA0" w:rsidP="002E3BA0">
      <w:pPr>
        <w:pStyle w:val="head"/>
        <w:spacing w:after="0" w:afterAutospacing="0"/>
        <w:jc w:val="both"/>
        <w:rPr>
          <w:rFonts w:ascii="Arial" w:hAnsi="Arial" w:cs="Arial"/>
          <w:bCs/>
          <w:color w:val="000000"/>
          <w:sz w:val="20"/>
          <w:szCs w:val="20"/>
        </w:rPr>
      </w:pPr>
    </w:p>
    <w:p w:rsidR="002E3BA0" w:rsidRDefault="002E3BA0" w:rsidP="002E3BA0">
      <w:pPr>
        <w:pStyle w:val="head"/>
        <w:spacing w:after="0" w:afterAutospacing="0"/>
        <w:jc w:val="both"/>
        <w:rPr>
          <w:rFonts w:ascii="Arial" w:hAnsi="Arial" w:cs="Arial"/>
          <w:bCs/>
          <w:color w:val="000000"/>
          <w:sz w:val="20"/>
          <w:szCs w:val="20"/>
        </w:rPr>
      </w:pPr>
    </w:p>
    <w:p w:rsidR="004107B0" w:rsidRPr="002E3BA0" w:rsidRDefault="002E3BA0" w:rsidP="002E3BA0">
      <w:pPr>
        <w:pStyle w:val="head"/>
        <w:spacing w:after="0" w:afterAutospacing="0"/>
        <w:jc w:val="both"/>
        <w:rPr>
          <w:rFonts w:ascii="Arial" w:hAnsi="Arial" w:cs="Arial"/>
          <w:bCs/>
          <w:color w:val="000000"/>
          <w:sz w:val="20"/>
          <w:szCs w:val="20"/>
        </w:rPr>
      </w:pPr>
      <w:r w:rsidRPr="002E3BA0">
        <w:rPr>
          <w:rFonts w:ascii="Arial" w:hAnsi="Arial" w:cs="Arial"/>
          <w:bCs/>
          <w:color w:val="000000"/>
          <w:sz w:val="20"/>
          <w:szCs w:val="20"/>
        </w:rPr>
        <w:t>For more information on the ‘</w:t>
      </w:r>
      <w:r w:rsidR="004107B0" w:rsidRPr="002E3BA0">
        <w:rPr>
          <w:rFonts w:ascii="Arial" w:hAnsi="Arial" w:cs="Arial"/>
          <w:bCs/>
          <w:color w:val="000000"/>
          <w:sz w:val="20"/>
          <w:szCs w:val="20"/>
        </w:rPr>
        <w:t>Registration of assignments of receivables transactions</w:t>
      </w:r>
      <w:r w:rsidRPr="002E3BA0">
        <w:rPr>
          <w:rFonts w:ascii="Arial" w:hAnsi="Arial" w:cs="Arial"/>
          <w:bCs/>
          <w:color w:val="000000"/>
          <w:sz w:val="20"/>
          <w:szCs w:val="20"/>
        </w:rPr>
        <w:t>’, refer to the link below.</w:t>
      </w:r>
    </w:p>
    <w:p w:rsidR="004107B0" w:rsidRPr="00470480" w:rsidRDefault="004107B0" w:rsidP="002E3BA0">
      <w:pPr>
        <w:spacing w:after="0"/>
        <w:jc w:val="both"/>
        <w:rPr>
          <w:rFonts w:ascii="Arial" w:hAnsi="Arial" w:cs="Arial"/>
          <w:sz w:val="20"/>
          <w:szCs w:val="20"/>
        </w:rPr>
      </w:pPr>
      <w:r w:rsidRPr="00470480">
        <w:rPr>
          <w:rFonts w:ascii="Arial" w:hAnsi="Arial" w:cs="Arial"/>
          <w:sz w:val="20"/>
          <w:szCs w:val="20"/>
        </w:rPr>
        <w:t xml:space="preserve">Reference Link: </w:t>
      </w:r>
      <w:hyperlink r:id="rId320" w:history="1">
        <w:r w:rsidRPr="00470480">
          <w:rPr>
            <w:rStyle w:val="Hyperlink"/>
            <w:rFonts w:ascii="Arial" w:hAnsi="Arial" w:cs="Arial"/>
            <w:sz w:val="20"/>
            <w:szCs w:val="20"/>
          </w:rPr>
          <w:t>https://www.rbi.org.in/Scripts/NotificationUser.aspx?Id=12223&amp;Mode=0</w:t>
        </w:r>
      </w:hyperlink>
    </w:p>
    <w:p w:rsidR="004107B0" w:rsidRPr="00470480" w:rsidRDefault="004107B0" w:rsidP="002E3BA0">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r w:rsidRPr="00470480">
        <w:rPr>
          <w:rFonts w:ascii="Arial" w:hAnsi="Arial" w:cs="Arial"/>
          <w:b/>
          <w:bCs/>
          <w:color w:val="000000"/>
          <w:sz w:val="20"/>
          <w:szCs w:val="20"/>
        </w:rPr>
        <w:t>Registration of Factors (Reserve Bank) Regulations, 2022</w:t>
      </w:r>
    </w:p>
    <w:p w:rsidR="004107B0" w:rsidRPr="00470480" w:rsidRDefault="004107B0" w:rsidP="00BE4BD6">
      <w:pPr>
        <w:spacing w:after="0"/>
        <w:jc w:val="both"/>
        <w:rPr>
          <w:rFonts w:ascii="Arial" w:hAnsi="Arial" w:cs="Arial"/>
          <w:sz w:val="20"/>
          <w:szCs w:val="20"/>
        </w:rPr>
      </w:pPr>
    </w:p>
    <w:p w:rsidR="004107B0" w:rsidRPr="00470480" w:rsidRDefault="004107B0" w:rsidP="004107B0">
      <w:pPr>
        <w:pStyle w:val="head"/>
        <w:jc w:val="center"/>
        <w:rPr>
          <w:rFonts w:ascii="Arial" w:hAnsi="Arial" w:cs="Arial"/>
          <w:b/>
          <w:bCs/>
          <w:color w:val="000000"/>
          <w:sz w:val="20"/>
          <w:szCs w:val="20"/>
        </w:rPr>
      </w:pPr>
      <w:r w:rsidRPr="00470480">
        <w:rPr>
          <w:rFonts w:ascii="Arial" w:hAnsi="Arial" w:cs="Arial"/>
          <w:b/>
          <w:bCs/>
          <w:color w:val="000000"/>
          <w:sz w:val="20"/>
          <w:szCs w:val="20"/>
        </w:rPr>
        <w:t>RESERVE BANK OF INDIA</w:t>
      </w:r>
      <w:r w:rsidRPr="00470480">
        <w:rPr>
          <w:rFonts w:ascii="Arial" w:hAnsi="Arial" w:cs="Arial"/>
          <w:b/>
          <w:bCs/>
          <w:color w:val="000000"/>
          <w:sz w:val="20"/>
          <w:szCs w:val="20"/>
        </w:rPr>
        <w:br/>
        <w:t>DEPARTMENT OF REGULATION</w:t>
      </w:r>
      <w:r w:rsidRPr="00470480">
        <w:rPr>
          <w:rFonts w:ascii="Arial" w:hAnsi="Arial" w:cs="Arial"/>
          <w:b/>
          <w:bCs/>
          <w:color w:val="000000"/>
          <w:sz w:val="20"/>
          <w:szCs w:val="20"/>
        </w:rPr>
        <w:br/>
        <w:t>CENTRAL OFFICE</w:t>
      </w:r>
      <w:r w:rsidRPr="00470480">
        <w:rPr>
          <w:rFonts w:ascii="Arial" w:hAnsi="Arial" w:cs="Arial"/>
          <w:b/>
          <w:bCs/>
          <w:color w:val="000000"/>
          <w:sz w:val="20"/>
          <w:szCs w:val="20"/>
        </w:rPr>
        <w:br/>
        <w:t>MUMBAI 400 001</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 </w:t>
      </w:r>
    </w:p>
    <w:p w:rsidR="004107B0" w:rsidRPr="00470480" w:rsidRDefault="004107B0" w:rsidP="004107B0">
      <w:pPr>
        <w:pStyle w:val="head"/>
        <w:jc w:val="both"/>
        <w:rPr>
          <w:rFonts w:ascii="Arial" w:hAnsi="Arial" w:cs="Arial"/>
          <w:b/>
          <w:bCs/>
          <w:color w:val="000000"/>
          <w:sz w:val="20"/>
          <w:szCs w:val="20"/>
        </w:rPr>
      </w:pPr>
      <w:r w:rsidRPr="00470480">
        <w:rPr>
          <w:rFonts w:ascii="Arial" w:hAnsi="Arial" w:cs="Arial"/>
          <w:b/>
          <w:bCs/>
          <w:color w:val="000000"/>
          <w:sz w:val="20"/>
          <w:szCs w:val="20"/>
        </w:rPr>
        <w:t>Notification No. DOR.FIN.080/CGM(JPS) – 2022</w:t>
      </w:r>
    </w:p>
    <w:p w:rsidR="004107B0" w:rsidRPr="00470480" w:rsidRDefault="004107B0" w:rsidP="004107B0">
      <w:pPr>
        <w:pStyle w:val="head"/>
        <w:jc w:val="right"/>
        <w:rPr>
          <w:rFonts w:ascii="Arial" w:hAnsi="Arial" w:cs="Arial"/>
          <w:b/>
          <w:bCs/>
          <w:color w:val="000000"/>
          <w:sz w:val="20"/>
          <w:szCs w:val="20"/>
        </w:rPr>
      </w:pPr>
      <w:r w:rsidRPr="00470480">
        <w:rPr>
          <w:rFonts w:ascii="Arial" w:hAnsi="Arial" w:cs="Arial"/>
          <w:b/>
          <w:bCs/>
          <w:color w:val="000000"/>
          <w:sz w:val="20"/>
          <w:szCs w:val="20"/>
        </w:rPr>
        <w:t>January 14, 2022</w:t>
      </w:r>
    </w:p>
    <w:p w:rsidR="004107B0" w:rsidRPr="00470480" w:rsidRDefault="004107B0" w:rsidP="004107B0">
      <w:pPr>
        <w:pStyle w:val="head"/>
        <w:jc w:val="center"/>
        <w:rPr>
          <w:rFonts w:ascii="Arial" w:hAnsi="Arial" w:cs="Arial"/>
          <w:b/>
          <w:bCs/>
          <w:color w:val="000000"/>
          <w:sz w:val="20"/>
          <w:szCs w:val="20"/>
        </w:rPr>
      </w:pPr>
      <w:r w:rsidRPr="00470480">
        <w:rPr>
          <w:rFonts w:ascii="Arial" w:hAnsi="Arial" w:cs="Arial"/>
          <w:b/>
          <w:bCs/>
          <w:color w:val="000000"/>
          <w:sz w:val="20"/>
          <w:szCs w:val="20"/>
        </w:rPr>
        <w:t>Registration of Factors (Reserve Bank) Regulations, 2022</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In exercise of the powers conferred by section 3 read with Section 31A of the Factoring Regulation Act, 2011 (12 of 2012), the Reserve Bank of India, hereby makes the following regulations pertaining to the manner of granting Certificate of Registration to companies which propose to do factoring business.</w:t>
      </w:r>
    </w:p>
    <w:p w:rsidR="004107B0" w:rsidRPr="00470480" w:rsidRDefault="004107B0" w:rsidP="004107B0">
      <w:pPr>
        <w:pStyle w:val="head"/>
        <w:jc w:val="both"/>
        <w:rPr>
          <w:rFonts w:ascii="Arial" w:hAnsi="Arial" w:cs="Arial"/>
          <w:b/>
          <w:bCs/>
          <w:color w:val="000000"/>
          <w:sz w:val="20"/>
          <w:szCs w:val="20"/>
        </w:rPr>
      </w:pPr>
      <w:r w:rsidRPr="00470480">
        <w:rPr>
          <w:rFonts w:ascii="Arial" w:hAnsi="Arial" w:cs="Arial"/>
          <w:b/>
          <w:bCs/>
          <w:color w:val="000000"/>
          <w:sz w:val="20"/>
          <w:szCs w:val="20"/>
        </w:rPr>
        <w:t>1. Short title and commencement</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(1) These regulations may be called the Registration of Factors (Reserve Bank) Regulations, 2022.</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(2) These regulations shall come into force on the date of their publication in the Official Gazette.</w:t>
      </w:r>
    </w:p>
    <w:p w:rsidR="004107B0" w:rsidRPr="00470480" w:rsidRDefault="004107B0" w:rsidP="004107B0">
      <w:pPr>
        <w:pStyle w:val="head"/>
        <w:jc w:val="both"/>
        <w:rPr>
          <w:rFonts w:ascii="Arial" w:hAnsi="Arial" w:cs="Arial"/>
          <w:b/>
          <w:bCs/>
          <w:color w:val="000000"/>
          <w:sz w:val="20"/>
          <w:szCs w:val="20"/>
        </w:rPr>
      </w:pPr>
      <w:r w:rsidRPr="00470480">
        <w:rPr>
          <w:rFonts w:ascii="Arial" w:hAnsi="Arial" w:cs="Arial"/>
          <w:b/>
          <w:bCs/>
          <w:color w:val="000000"/>
          <w:sz w:val="20"/>
          <w:szCs w:val="20"/>
        </w:rPr>
        <w:t>2. Definitions</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For the purpose of these regulations, unless the context otherwise requires:</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(1) “Act” means the Factoring Regulation Act, 2011 (12 of 2012);</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(2) “Reserve Bank” means the Reserve Bank of India constituted under Section 3 of the Reserve Bank of India Act, 1934 (2 of 1934);</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(3) “Company” means a company as defined in clause (20) of section 3 of Companies Act, 2013 (18 of 2013);</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(4) “Non-Banking Financial Company – Factor (NBFC-Factor)” means a non - banking financial company as defined in clause (f) of section 45-I of the Reserve Bank of India Act, 1934, which has its principal business as per Regulation 4 of these regulations and has been granted a Certificate of Registration (</w:t>
      </w:r>
      <w:proofErr w:type="spellStart"/>
      <w:r w:rsidRPr="00470480">
        <w:rPr>
          <w:rFonts w:ascii="Arial" w:hAnsi="Arial" w:cs="Arial"/>
          <w:color w:val="000000"/>
          <w:sz w:val="20"/>
          <w:szCs w:val="20"/>
        </w:rPr>
        <w:t>CoR</w:t>
      </w:r>
      <w:proofErr w:type="spellEnd"/>
      <w:r w:rsidRPr="00470480">
        <w:rPr>
          <w:rFonts w:ascii="Arial" w:hAnsi="Arial" w:cs="Arial"/>
          <w:color w:val="000000"/>
          <w:sz w:val="20"/>
          <w:szCs w:val="20"/>
        </w:rPr>
        <w:t>) under section 3 of the Act;</w:t>
      </w:r>
    </w:p>
    <w:p w:rsidR="002E3BA0" w:rsidRDefault="002E3BA0" w:rsidP="00BE4BD6">
      <w:pPr>
        <w:spacing w:after="0"/>
        <w:jc w:val="both"/>
        <w:rPr>
          <w:rFonts w:ascii="Arial" w:hAnsi="Arial" w:cs="Arial"/>
          <w:sz w:val="20"/>
          <w:szCs w:val="20"/>
        </w:rPr>
      </w:pPr>
    </w:p>
    <w:p w:rsidR="002E3BA0" w:rsidRDefault="002E3BA0" w:rsidP="00BE4BD6">
      <w:pPr>
        <w:spacing w:after="0"/>
        <w:jc w:val="both"/>
        <w:rPr>
          <w:rFonts w:ascii="Arial" w:hAnsi="Arial" w:cs="Arial"/>
          <w:sz w:val="20"/>
          <w:szCs w:val="20"/>
        </w:rPr>
      </w:pPr>
    </w:p>
    <w:p w:rsidR="002E3BA0" w:rsidRDefault="002E3BA0" w:rsidP="00BE4BD6">
      <w:pPr>
        <w:spacing w:after="0"/>
        <w:jc w:val="both"/>
        <w:rPr>
          <w:rFonts w:ascii="Arial" w:hAnsi="Arial" w:cs="Arial"/>
          <w:sz w:val="20"/>
          <w:szCs w:val="20"/>
        </w:rPr>
      </w:pPr>
      <w:r>
        <w:rPr>
          <w:rFonts w:ascii="Arial" w:hAnsi="Arial" w:cs="Arial"/>
          <w:sz w:val="20"/>
          <w:szCs w:val="20"/>
        </w:rPr>
        <w:t>For more information, refer to the link below.</w:t>
      </w:r>
    </w:p>
    <w:p w:rsidR="004107B0" w:rsidRPr="00470480" w:rsidRDefault="004107B0" w:rsidP="00BE4BD6">
      <w:pPr>
        <w:spacing w:after="0"/>
        <w:jc w:val="both"/>
        <w:rPr>
          <w:rFonts w:ascii="Arial" w:hAnsi="Arial" w:cs="Arial"/>
          <w:sz w:val="20"/>
          <w:szCs w:val="20"/>
        </w:rPr>
      </w:pPr>
      <w:r w:rsidRPr="00470480">
        <w:rPr>
          <w:rFonts w:ascii="Arial" w:hAnsi="Arial" w:cs="Arial"/>
          <w:sz w:val="20"/>
          <w:szCs w:val="20"/>
        </w:rPr>
        <w:t xml:space="preserve">Reference Link: </w:t>
      </w:r>
      <w:hyperlink r:id="rId321" w:history="1">
        <w:r w:rsidRPr="00470480">
          <w:rPr>
            <w:rStyle w:val="Hyperlink"/>
            <w:rFonts w:ascii="Arial" w:hAnsi="Arial" w:cs="Arial"/>
            <w:sz w:val="20"/>
            <w:szCs w:val="20"/>
          </w:rPr>
          <w:t>https://www.rbi.org.in/Scripts/NotificationUser.aspx?Id=12222&amp;Mode=0</w:t>
        </w:r>
      </w:hyperlink>
    </w:p>
    <w:p w:rsidR="004107B0" w:rsidRPr="00470480" w:rsidRDefault="004107B0" w:rsidP="00BE4BD6">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p>
    <w:p w:rsidR="004107B0" w:rsidRPr="00470480" w:rsidRDefault="004107B0" w:rsidP="00BE4BD6">
      <w:pPr>
        <w:spacing w:after="0"/>
        <w:jc w:val="both"/>
        <w:rPr>
          <w:rFonts w:ascii="Arial" w:hAnsi="Arial" w:cs="Arial"/>
          <w:sz w:val="20"/>
          <w:szCs w:val="20"/>
        </w:rPr>
      </w:pPr>
    </w:p>
    <w:p w:rsidR="002E3BA0" w:rsidRDefault="002E3BA0" w:rsidP="00BE4BD6">
      <w:pPr>
        <w:spacing w:after="0"/>
        <w:jc w:val="both"/>
        <w:rPr>
          <w:rFonts w:ascii="Arial" w:hAnsi="Arial" w:cs="Arial"/>
          <w:b/>
          <w:bCs/>
          <w:color w:val="000000"/>
          <w:sz w:val="20"/>
          <w:szCs w:val="20"/>
        </w:rPr>
      </w:pPr>
    </w:p>
    <w:p w:rsidR="004107B0" w:rsidRPr="00470480" w:rsidRDefault="004107B0" w:rsidP="00BE4BD6">
      <w:pPr>
        <w:spacing w:after="0"/>
        <w:jc w:val="both"/>
        <w:rPr>
          <w:rFonts w:ascii="Arial" w:hAnsi="Arial" w:cs="Arial"/>
          <w:b/>
          <w:bCs/>
          <w:color w:val="000000"/>
          <w:sz w:val="20"/>
          <w:szCs w:val="20"/>
        </w:rPr>
      </w:pPr>
      <w:r w:rsidRPr="00470480">
        <w:rPr>
          <w:rFonts w:ascii="Arial" w:hAnsi="Arial" w:cs="Arial"/>
          <w:b/>
          <w:bCs/>
          <w:color w:val="000000"/>
          <w:sz w:val="20"/>
          <w:szCs w:val="20"/>
        </w:rPr>
        <w:t>Basel III Framework on Liquidity Standards – Liquidity Coverage Ratio (LCR), Liquidity Risk Monitoring Tools and LCR Disclosure Standards and Net Stable Funding ratio – Small Business Customers</w:t>
      </w:r>
    </w:p>
    <w:p w:rsidR="004107B0" w:rsidRPr="00470480" w:rsidRDefault="004107B0" w:rsidP="00BE4BD6">
      <w:pPr>
        <w:spacing w:after="0"/>
        <w:jc w:val="both"/>
        <w:rPr>
          <w:rFonts w:ascii="Arial" w:hAnsi="Arial" w:cs="Arial"/>
          <w:b/>
          <w:bCs/>
          <w:color w:val="000000"/>
          <w:sz w:val="20"/>
          <w:szCs w:val="20"/>
        </w:rPr>
      </w:pP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RBI/2021-22/151</w:t>
      </w:r>
      <w:r w:rsidRPr="00470480">
        <w:rPr>
          <w:rFonts w:ascii="Arial" w:hAnsi="Arial" w:cs="Arial"/>
          <w:color w:val="000000"/>
          <w:sz w:val="20"/>
          <w:szCs w:val="20"/>
        </w:rPr>
        <w:br/>
        <w:t>DOR.No.PRD.LRG.79/21.04.098/2021-22</w:t>
      </w:r>
    </w:p>
    <w:p w:rsidR="004107B0" w:rsidRPr="00470480" w:rsidRDefault="004107B0" w:rsidP="004107B0">
      <w:pPr>
        <w:pStyle w:val="NormalWeb"/>
        <w:jc w:val="right"/>
        <w:rPr>
          <w:rFonts w:ascii="Arial" w:hAnsi="Arial" w:cs="Arial"/>
          <w:color w:val="000000"/>
          <w:sz w:val="20"/>
          <w:szCs w:val="20"/>
        </w:rPr>
      </w:pPr>
      <w:r w:rsidRPr="00470480">
        <w:rPr>
          <w:rFonts w:ascii="Arial" w:hAnsi="Arial" w:cs="Arial"/>
          <w:color w:val="000000"/>
          <w:sz w:val="20"/>
          <w:szCs w:val="20"/>
        </w:rPr>
        <w:t>January 06, 2022</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4107B0" w:rsidRPr="00470480" w:rsidRDefault="004107B0" w:rsidP="004107B0">
      <w:pPr>
        <w:pStyle w:val="head"/>
        <w:jc w:val="both"/>
        <w:rPr>
          <w:rFonts w:ascii="Arial" w:hAnsi="Arial" w:cs="Arial"/>
          <w:b/>
          <w:bCs/>
          <w:color w:val="000000"/>
          <w:sz w:val="20"/>
          <w:szCs w:val="20"/>
        </w:rPr>
      </w:pPr>
      <w:r w:rsidRPr="00470480">
        <w:rPr>
          <w:rFonts w:ascii="Arial" w:hAnsi="Arial" w:cs="Arial"/>
          <w:b/>
          <w:bCs/>
          <w:color w:val="000000"/>
          <w:sz w:val="20"/>
          <w:szCs w:val="20"/>
        </w:rPr>
        <w:t>Basel III Framework on Liquidity Standards – Liquidity Coverage Ratio (LCR), Liquidity Risk Monitoring Tools and LCR Disclosure Standards and Net Stable Funding ratio – Small Business Customers</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Please refer to the following instructions:</w:t>
      </w:r>
    </w:p>
    <w:p w:rsidR="004107B0" w:rsidRPr="00470480" w:rsidRDefault="00FD1759" w:rsidP="004107B0">
      <w:pPr>
        <w:pStyle w:val="NormalWeb"/>
        <w:numPr>
          <w:ilvl w:val="0"/>
          <w:numId w:val="159"/>
        </w:numPr>
        <w:ind w:left="0"/>
        <w:jc w:val="both"/>
        <w:rPr>
          <w:rFonts w:ascii="Arial" w:hAnsi="Arial" w:cs="Arial"/>
          <w:color w:val="000000"/>
          <w:sz w:val="20"/>
          <w:szCs w:val="20"/>
        </w:rPr>
      </w:pPr>
      <w:hyperlink r:id="rId322" w:tgtFrame="_blank" w:history="1">
        <w:r w:rsidR="004107B0" w:rsidRPr="00470480">
          <w:rPr>
            <w:rStyle w:val="Hyperlink"/>
            <w:rFonts w:ascii="Arial" w:hAnsi="Arial" w:cs="Arial"/>
            <w:sz w:val="20"/>
            <w:szCs w:val="20"/>
          </w:rPr>
          <w:t>Circular DBOD.BP.BC.No.120/21.04.098/2013-14 dated June 09, 2014</w:t>
        </w:r>
      </w:hyperlink>
      <w:r w:rsidR="004107B0" w:rsidRPr="00470480">
        <w:rPr>
          <w:rFonts w:ascii="Arial" w:hAnsi="Arial" w:cs="Arial"/>
          <w:color w:val="000000"/>
          <w:sz w:val="20"/>
          <w:szCs w:val="20"/>
        </w:rPr>
        <w:t> on ‘Basel III Framework on Liquidity Standards – Liquidity Coverage Ratio (LCR), Liquidity Risk Monitoring Tools and LCR Disclosure Standards’;</w:t>
      </w:r>
    </w:p>
    <w:p w:rsidR="004107B0" w:rsidRPr="00470480" w:rsidRDefault="00FD1759" w:rsidP="004107B0">
      <w:pPr>
        <w:pStyle w:val="NormalWeb"/>
        <w:numPr>
          <w:ilvl w:val="0"/>
          <w:numId w:val="159"/>
        </w:numPr>
        <w:ind w:left="0"/>
        <w:jc w:val="both"/>
        <w:rPr>
          <w:rFonts w:ascii="Arial" w:hAnsi="Arial" w:cs="Arial"/>
          <w:color w:val="000000"/>
          <w:sz w:val="20"/>
          <w:szCs w:val="20"/>
        </w:rPr>
      </w:pPr>
      <w:hyperlink r:id="rId323" w:tgtFrame="_blank" w:history="1">
        <w:r w:rsidR="004107B0" w:rsidRPr="00470480">
          <w:rPr>
            <w:rStyle w:val="Hyperlink"/>
            <w:rFonts w:ascii="Arial" w:hAnsi="Arial" w:cs="Arial"/>
            <w:sz w:val="20"/>
            <w:szCs w:val="20"/>
          </w:rPr>
          <w:t>Circular DBR.BP.BC.No.106/21.04.098/2017-18 dated May 17, 2018</w:t>
        </w:r>
      </w:hyperlink>
      <w:r w:rsidR="004107B0" w:rsidRPr="00470480">
        <w:rPr>
          <w:rFonts w:ascii="Arial" w:hAnsi="Arial" w:cs="Arial"/>
          <w:color w:val="000000"/>
          <w:sz w:val="20"/>
          <w:szCs w:val="20"/>
        </w:rPr>
        <w:t> on ‘Standards – Net Stable Funding Ratio (NSFR) – Final Guidelines’;</w:t>
      </w:r>
    </w:p>
    <w:p w:rsidR="004107B0" w:rsidRPr="00470480" w:rsidRDefault="00FD1759" w:rsidP="004107B0">
      <w:pPr>
        <w:pStyle w:val="NormalWeb"/>
        <w:numPr>
          <w:ilvl w:val="0"/>
          <w:numId w:val="159"/>
        </w:numPr>
        <w:ind w:left="0"/>
        <w:jc w:val="both"/>
        <w:rPr>
          <w:rFonts w:ascii="Arial" w:hAnsi="Arial" w:cs="Arial"/>
          <w:color w:val="000000"/>
          <w:sz w:val="20"/>
          <w:szCs w:val="20"/>
        </w:rPr>
      </w:pPr>
      <w:hyperlink r:id="rId324" w:tgtFrame="_blank" w:history="1">
        <w:r w:rsidR="004107B0" w:rsidRPr="00470480">
          <w:rPr>
            <w:rStyle w:val="Hyperlink"/>
            <w:rFonts w:ascii="Arial" w:hAnsi="Arial" w:cs="Arial"/>
            <w:sz w:val="20"/>
            <w:szCs w:val="20"/>
          </w:rPr>
          <w:t>Circular DBR.No.BP.BC.80/21.06.201/2014-15 dated March 31, 2015</w:t>
        </w:r>
      </w:hyperlink>
      <w:r w:rsidR="004107B0" w:rsidRPr="00470480">
        <w:rPr>
          <w:rFonts w:ascii="Arial" w:hAnsi="Arial" w:cs="Arial"/>
          <w:color w:val="000000"/>
          <w:sz w:val="20"/>
          <w:szCs w:val="20"/>
        </w:rPr>
        <w:t> on ‘Prudential Guidelines on Capital Adequacy and Liquidity Standards – Amendments’; and,</w:t>
      </w:r>
    </w:p>
    <w:p w:rsidR="004107B0" w:rsidRPr="00470480" w:rsidRDefault="00FD1759" w:rsidP="004107B0">
      <w:pPr>
        <w:pStyle w:val="NormalWeb"/>
        <w:numPr>
          <w:ilvl w:val="0"/>
          <w:numId w:val="159"/>
        </w:numPr>
        <w:ind w:left="0"/>
        <w:jc w:val="both"/>
        <w:rPr>
          <w:rFonts w:ascii="Arial" w:hAnsi="Arial" w:cs="Arial"/>
          <w:color w:val="000000"/>
          <w:sz w:val="20"/>
          <w:szCs w:val="20"/>
        </w:rPr>
      </w:pPr>
      <w:hyperlink r:id="rId325" w:tgtFrame="_blank" w:history="1">
        <w:r w:rsidR="004107B0" w:rsidRPr="00470480">
          <w:rPr>
            <w:rStyle w:val="Hyperlink"/>
            <w:rFonts w:ascii="Arial" w:hAnsi="Arial" w:cs="Arial"/>
            <w:sz w:val="20"/>
            <w:szCs w:val="20"/>
          </w:rPr>
          <w:t>Circular DOR.No.BP.BC.23/21.06.201/2020-21 dated October 12, 2020</w:t>
        </w:r>
      </w:hyperlink>
      <w:r w:rsidR="004107B0" w:rsidRPr="00470480">
        <w:rPr>
          <w:rFonts w:ascii="Arial" w:hAnsi="Arial" w:cs="Arial"/>
          <w:color w:val="000000"/>
          <w:sz w:val="20"/>
          <w:szCs w:val="20"/>
        </w:rPr>
        <w:t> on ‘Regulatory Retail Portfolio – Revised Limit for Risk Weight’.</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 xml:space="preserve">2. With the objective to better align our guidelines with the BCBS standard and enable banks to manage liquidity risk more effectively, it has been decided to increase the threshold limit for deposits and other extensions of funds made by non-financial Small Business Customers </w:t>
      </w:r>
      <w:proofErr w:type="gramStart"/>
      <w:r w:rsidRPr="00470480">
        <w:rPr>
          <w:rFonts w:ascii="Arial" w:hAnsi="Arial" w:cs="Arial"/>
          <w:color w:val="000000"/>
          <w:sz w:val="20"/>
          <w:szCs w:val="20"/>
        </w:rPr>
        <w:t>from ₹ 5</w:t>
      </w:r>
      <w:proofErr w:type="gramEnd"/>
      <w:r w:rsidRPr="00470480">
        <w:rPr>
          <w:rFonts w:ascii="Arial" w:hAnsi="Arial" w:cs="Arial"/>
          <w:color w:val="000000"/>
          <w:sz w:val="20"/>
          <w:szCs w:val="20"/>
        </w:rPr>
        <w:t xml:space="preserve"> crore to ₹ 7.5 crore for the purpose of maintenance of Liquidity Coverage Ratio (LCR).</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3. The above modification is also applicable to deposits and other extensions of funds received from Small Business Customers referred to in the </w:t>
      </w:r>
      <w:hyperlink r:id="rId326" w:tgtFrame="_blank" w:history="1">
        <w:r w:rsidRPr="00470480">
          <w:rPr>
            <w:rStyle w:val="Hyperlink"/>
            <w:rFonts w:ascii="Arial" w:hAnsi="Arial" w:cs="Arial"/>
            <w:sz w:val="20"/>
            <w:szCs w:val="20"/>
          </w:rPr>
          <w:t>circular DBR.BP.BC.No.106/21.04.098/2017-18 dated May 17, 2018</w:t>
        </w:r>
      </w:hyperlink>
      <w:r w:rsidRPr="00470480">
        <w:rPr>
          <w:rFonts w:ascii="Arial" w:hAnsi="Arial" w:cs="Arial"/>
          <w:color w:val="000000"/>
          <w:sz w:val="20"/>
          <w:szCs w:val="20"/>
        </w:rPr>
        <w:t> on ‘Basel III Framework on Liquidity Standards – Net Stable Funding Ratio (NSFR) – Final Guidelines’.</w:t>
      </w:r>
    </w:p>
    <w:p w:rsidR="004107B0" w:rsidRPr="00470480" w:rsidRDefault="004107B0" w:rsidP="004107B0">
      <w:pPr>
        <w:pStyle w:val="NormalWeb"/>
        <w:jc w:val="both"/>
        <w:rPr>
          <w:rFonts w:ascii="Arial" w:hAnsi="Arial" w:cs="Arial"/>
          <w:color w:val="000000"/>
          <w:sz w:val="20"/>
          <w:szCs w:val="20"/>
        </w:rPr>
      </w:pPr>
      <w:r w:rsidRPr="00470480">
        <w:rPr>
          <w:rFonts w:ascii="Arial" w:hAnsi="Arial" w:cs="Arial"/>
          <w:color w:val="000000"/>
          <w:sz w:val="20"/>
          <w:szCs w:val="20"/>
        </w:rPr>
        <w:t>4. The revised paragraphs after incorporating the above changes in the relevant circulars is given in </w:t>
      </w:r>
      <w:hyperlink r:id="rId327" w:anchor="AN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2E3BA0" w:rsidRDefault="002E3BA0" w:rsidP="002E3BA0">
      <w:pPr>
        <w:pStyle w:val="NormalWeb"/>
        <w:spacing w:before="0" w:beforeAutospacing="0" w:after="0" w:afterAutospacing="0"/>
        <w:rPr>
          <w:rFonts w:ascii="Arial" w:hAnsi="Arial" w:cs="Arial"/>
          <w:color w:val="000000"/>
          <w:sz w:val="20"/>
          <w:szCs w:val="20"/>
        </w:rPr>
      </w:pPr>
    </w:p>
    <w:p w:rsidR="002E3BA0" w:rsidRDefault="002E3BA0" w:rsidP="002E3BA0">
      <w:pPr>
        <w:pStyle w:val="NormalWeb"/>
        <w:spacing w:before="0" w:beforeAutospacing="0" w:after="0" w:afterAutospacing="0"/>
        <w:rPr>
          <w:rFonts w:ascii="Arial" w:hAnsi="Arial" w:cs="Arial"/>
          <w:color w:val="000000"/>
          <w:sz w:val="20"/>
          <w:szCs w:val="20"/>
        </w:rPr>
      </w:pPr>
    </w:p>
    <w:p w:rsidR="00470480" w:rsidRPr="00470480" w:rsidRDefault="002E3BA0" w:rsidP="002E3BA0">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For more information on ‘Applicability’, refer to the link below.</w:t>
      </w:r>
    </w:p>
    <w:p w:rsidR="00470480" w:rsidRPr="00470480" w:rsidRDefault="00470480" w:rsidP="002E3BA0">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328" w:history="1">
        <w:r w:rsidRPr="00470480">
          <w:rPr>
            <w:rStyle w:val="Hyperlink"/>
            <w:rFonts w:ascii="Arial" w:hAnsi="Arial" w:cs="Arial"/>
            <w:sz w:val="20"/>
            <w:szCs w:val="20"/>
          </w:rPr>
          <w:t>https://www.rbi.org.in/Scripts/NotificationUser.aspx?Id=12220&amp;Mode=0</w:t>
        </w:r>
      </w:hyperlink>
    </w:p>
    <w:p w:rsidR="002E3BA0" w:rsidRDefault="002E3BA0" w:rsidP="00470480">
      <w:pPr>
        <w:pStyle w:val="NormalWeb"/>
        <w:rPr>
          <w:rFonts w:ascii="Arial" w:hAnsi="Arial" w:cs="Arial"/>
          <w:b/>
          <w:bCs/>
          <w:color w:val="000000"/>
          <w:sz w:val="20"/>
          <w:szCs w:val="20"/>
        </w:rPr>
      </w:pPr>
    </w:p>
    <w:p w:rsidR="002E3BA0" w:rsidRDefault="002E3BA0" w:rsidP="00470480">
      <w:pPr>
        <w:pStyle w:val="NormalWeb"/>
        <w:rPr>
          <w:rFonts w:ascii="Arial" w:hAnsi="Arial" w:cs="Arial"/>
          <w:b/>
          <w:bCs/>
          <w:color w:val="000000"/>
          <w:sz w:val="20"/>
          <w:szCs w:val="20"/>
        </w:rPr>
      </w:pPr>
    </w:p>
    <w:p w:rsidR="002E3BA0" w:rsidRDefault="002E3BA0" w:rsidP="00470480">
      <w:pPr>
        <w:pStyle w:val="NormalWeb"/>
        <w:rPr>
          <w:rFonts w:ascii="Arial" w:hAnsi="Arial" w:cs="Arial"/>
          <w:b/>
          <w:bCs/>
          <w:color w:val="000000"/>
          <w:sz w:val="20"/>
          <w:szCs w:val="20"/>
        </w:rPr>
      </w:pPr>
    </w:p>
    <w:p w:rsidR="002E3BA0" w:rsidRDefault="002E3BA0" w:rsidP="00470480">
      <w:pPr>
        <w:pStyle w:val="NormalWeb"/>
        <w:rPr>
          <w:rFonts w:ascii="Arial" w:hAnsi="Arial" w:cs="Arial"/>
          <w:b/>
          <w:bCs/>
          <w:color w:val="000000"/>
          <w:sz w:val="20"/>
          <w:szCs w:val="20"/>
        </w:rPr>
      </w:pPr>
    </w:p>
    <w:p w:rsidR="002E3BA0" w:rsidRDefault="002E3BA0" w:rsidP="00470480">
      <w:pPr>
        <w:pStyle w:val="NormalWeb"/>
        <w:rPr>
          <w:rFonts w:ascii="Arial" w:hAnsi="Arial" w:cs="Arial"/>
          <w:b/>
          <w:bCs/>
          <w:color w:val="000000"/>
          <w:sz w:val="20"/>
          <w:szCs w:val="20"/>
        </w:rPr>
      </w:pPr>
    </w:p>
    <w:p w:rsidR="002E3BA0" w:rsidRDefault="002E3BA0" w:rsidP="00470480">
      <w:pPr>
        <w:pStyle w:val="NormalWeb"/>
        <w:rPr>
          <w:rFonts w:ascii="Arial" w:hAnsi="Arial" w:cs="Arial"/>
          <w:b/>
          <w:bCs/>
          <w:color w:val="000000"/>
          <w:sz w:val="20"/>
          <w:szCs w:val="20"/>
        </w:rPr>
      </w:pPr>
    </w:p>
    <w:p w:rsidR="00470480" w:rsidRPr="00470480" w:rsidRDefault="00470480" w:rsidP="00470480">
      <w:pPr>
        <w:pStyle w:val="NormalWeb"/>
        <w:rPr>
          <w:rFonts w:ascii="Arial" w:hAnsi="Arial" w:cs="Arial"/>
          <w:b/>
          <w:bCs/>
          <w:color w:val="000000"/>
          <w:sz w:val="20"/>
          <w:szCs w:val="20"/>
        </w:rPr>
      </w:pPr>
      <w:r w:rsidRPr="00470480">
        <w:rPr>
          <w:rFonts w:ascii="Arial" w:hAnsi="Arial" w:cs="Arial"/>
          <w:b/>
          <w:bCs/>
          <w:color w:val="000000"/>
          <w:sz w:val="20"/>
          <w:szCs w:val="20"/>
        </w:rPr>
        <w:t>Master Circular - Bank Finance to Non-Banking Financial Companies (NBFCs)</w:t>
      </w:r>
    </w:p>
    <w:p w:rsidR="00470480" w:rsidRPr="00470480" w:rsidRDefault="00470480" w:rsidP="00470480">
      <w:pPr>
        <w:pStyle w:val="NormalWeb"/>
        <w:jc w:val="both"/>
        <w:rPr>
          <w:rFonts w:ascii="Arial" w:hAnsi="Arial" w:cs="Arial"/>
          <w:color w:val="000000"/>
          <w:sz w:val="20"/>
          <w:szCs w:val="20"/>
        </w:rPr>
      </w:pPr>
      <w:r w:rsidRPr="00470480">
        <w:rPr>
          <w:rFonts w:ascii="Arial" w:hAnsi="Arial" w:cs="Arial"/>
          <w:color w:val="000000"/>
          <w:sz w:val="20"/>
          <w:szCs w:val="20"/>
        </w:rPr>
        <w:t>RBI/2021-22/149</w:t>
      </w:r>
      <w:r w:rsidRPr="00470480">
        <w:rPr>
          <w:rFonts w:ascii="Arial" w:hAnsi="Arial" w:cs="Arial"/>
          <w:color w:val="000000"/>
          <w:sz w:val="20"/>
          <w:szCs w:val="20"/>
        </w:rPr>
        <w:br/>
        <w:t>DOR.CRE.REC.No.77/21.04.172/2021-22</w:t>
      </w:r>
    </w:p>
    <w:p w:rsidR="00470480" w:rsidRPr="00470480" w:rsidRDefault="00470480" w:rsidP="00470480">
      <w:pPr>
        <w:pStyle w:val="NormalWeb"/>
        <w:jc w:val="right"/>
        <w:rPr>
          <w:rFonts w:ascii="Arial" w:hAnsi="Arial" w:cs="Arial"/>
          <w:color w:val="000000"/>
          <w:sz w:val="20"/>
          <w:szCs w:val="20"/>
        </w:rPr>
      </w:pPr>
      <w:r w:rsidRPr="00470480">
        <w:rPr>
          <w:rFonts w:ascii="Arial" w:hAnsi="Arial" w:cs="Arial"/>
          <w:color w:val="000000"/>
          <w:sz w:val="20"/>
          <w:szCs w:val="20"/>
        </w:rPr>
        <w:t>January 05, 2022</w:t>
      </w:r>
    </w:p>
    <w:p w:rsidR="00470480" w:rsidRPr="00470480" w:rsidRDefault="00470480" w:rsidP="00470480">
      <w:pPr>
        <w:pStyle w:val="NormalWeb"/>
        <w:jc w:val="both"/>
        <w:rPr>
          <w:rFonts w:ascii="Arial" w:hAnsi="Arial" w:cs="Arial"/>
          <w:color w:val="000000"/>
          <w:sz w:val="20"/>
          <w:szCs w:val="20"/>
        </w:rPr>
      </w:pPr>
      <w:r w:rsidRPr="00470480">
        <w:rPr>
          <w:rFonts w:ascii="Arial" w:hAnsi="Arial" w:cs="Arial"/>
          <w:color w:val="000000"/>
          <w:sz w:val="20"/>
          <w:szCs w:val="20"/>
        </w:rPr>
        <w:t>All Scheduled Commercial Banks (excluding RRBs)</w:t>
      </w:r>
    </w:p>
    <w:p w:rsidR="00470480" w:rsidRPr="00470480" w:rsidRDefault="00470480" w:rsidP="00470480">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470480" w:rsidRPr="00470480" w:rsidRDefault="00470480" w:rsidP="00470480">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Bank Finance to Non-Banking Financial Companies (NBFCs)</w:t>
      </w:r>
    </w:p>
    <w:p w:rsidR="00470480" w:rsidRPr="00470480" w:rsidRDefault="00470480" w:rsidP="00470480">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329" w:tgtFrame="_blank" w:history="1">
        <w:r w:rsidRPr="00470480">
          <w:rPr>
            <w:rStyle w:val="Hyperlink"/>
            <w:rFonts w:ascii="Arial" w:hAnsi="Arial" w:cs="Arial"/>
            <w:sz w:val="20"/>
            <w:szCs w:val="20"/>
          </w:rPr>
          <w:t>Master Circular DBR.BP.BC.No.5/21.04.172/2015-16 dated July 1, 2015</w:t>
        </w:r>
      </w:hyperlink>
      <w:r w:rsidRPr="00470480">
        <w:rPr>
          <w:rFonts w:ascii="Arial" w:hAnsi="Arial" w:cs="Arial"/>
          <w:color w:val="000000"/>
          <w:sz w:val="20"/>
          <w:szCs w:val="20"/>
        </w:rPr>
        <w:t> on the captioned subject. This </w:t>
      </w:r>
      <w:hyperlink r:id="rId330"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 issued up to January 04, 2022.</w:t>
      </w:r>
    </w:p>
    <w:p w:rsidR="00470480" w:rsidRPr="00470480" w:rsidRDefault="00470480" w:rsidP="00470480">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470480" w:rsidRPr="00470480" w:rsidRDefault="00470480" w:rsidP="00470480">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957BFA" w:rsidRDefault="00957BFA" w:rsidP="00957BFA">
      <w:pPr>
        <w:pStyle w:val="NormalWeb"/>
        <w:spacing w:before="0" w:beforeAutospacing="0"/>
        <w:rPr>
          <w:rFonts w:ascii="Arial" w:hAnsi="Arial" w:cs="Arial"/>
          <w:color w:val="000000"/>
          <w:sz w:val="20"/>
          <w:szCs w:val="20"/>
        </w:rPr>
      </w:pPr>
    </w:p>
    <w:p w:rsidR="00957BFA" w:rsidRDefault="00957BFA" w:rsidP="00957BFA">
      <w:pPr>
        <w:pStyle w:val="NormalWeb"/>
        <w:spacing w:before="0" w:beforeAutospacing="0"/>
        <w:rPr>
          <w:rFonts w:ascii="Arial" w:hAnsi="Arial" w:cs="Arial"/>
          <w:color w:val="000000"/>
          <w:sz w:val="20"/>
          <w:szCs w:val="20"/>
        </w:rPr>
      </w:pPr>
    </w:p>
    <w:p w:rsidR="00470480" w:rsidRPr="00470480" w:rsidRDefault="00957BFA" w:rsidP="00957BFA">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For the detailed Master Circular, refer to the link below.</w:t>
      </w:r>
    </w:p>
    <w:p w:rsidR="00470480" w:rsidRPr="00470480" w:rsidRDefault="00470480" w:rsidP="00957BFA">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331" w:history="1">
        <w:r w:rsidRPr="00470480">
          <w:rPr>
            <w:rStyle w:val="Hyperlink"/>
            <w:rFonts w:ascii="Arial" w:hAnsi="Arial" w:cs="Arial"/>
            <w:sz w:val="20"/>
            <w:szCs w:val="20"/>
          </w:rPr>
          <w:t>https://www.rbi.org.in/Scripts/NotificationUser.aspx?Id=12218&amp;Mode=0</w:t>
        </w:r>
      </w:hyperlink>
    </w:p>
    <w:p w:rsidR="00470480" w:rsidRPr="00470480" w:rsidRDefault="00470480" w:rsidP="00470480">
      <w:pPr>
        <w:pStyle w:val="NormalWeb"/>
        <w:rPr>
          <w:rFonts w:ascii="Arial" w:hAnsi="Arial" w:cs="Arial"/>
          <w:color w:val="000000"/>
          <w:sz w:val="20"/>
          <w:szCs w:val="20"/>
        </w:rPr>
      </w:pPr>
    </w:p>
    <w:p w:rsidR="00470480" w:rsidRPr="00470480" w:rsidRDefault="00470480" w:rsidP="00470480">
      <w:pPr>
        <w:pStyle w:val="NormalWeb"/>
        <w:rPr>
          <w:rFonts w:ascii="Arial" w:hAnsi="Arial" w:cs="Arial"/>
          <w:color w:val="000000"/>
          <w:sz w:val="20"/>
          <w:szCs w:val="20"/>
        </w:rPr>
      </w:pPr>
    </w:p>
    <w:p w:rsidR="00470480" w:rsidRPr="00470480" w:rsidRDefault="00470480" w:rsidP="00470480">
      <w:pPr>
        <w:pStyle w:val="NormalWeb"/>
        <w:rPr>
          <w:rFonts w:ascii="Arial" w:hAnsi="Arial" w:cs="Arial"/>
          <w:color w:val="000000"/>
          <w:sz w:val="20"/>
          <w:szCs w:val="20"/>
        </w:rPr>
      </w:pPr>
    </w:p>
    <w:p w:rsidR="00470480" w:rsidRPr="00470480" w:rsidRDefault="00470480" w:rsidP="00470480">
      <w:pPr>
        <w:pStyle w:val="NormalWeb"/>
        <w:rPr>
          <w:rFonts w:ascii="Arial" w:hAnsi="Arial" w:cs="Arial"/>
          <w:color w:val="000000"/>
          <w:sz w:val="20"/>
          <w:szCs w:val="20"/>
        </w:rPr>
      </w:pPr>
    </w:p>
    <w:p w:rsidR="00470480" w:rsidRPr="00470480" w:rsidRDefault="00470480" w:rsidP="00470480">
      <w:pPr>
        <w:pStyle w:val="NormalWeb"/>
        <w:rPr>
          <w:rFonts w:ascii="Arial" w:hAnsi="Arial" w:cs="Arial"/>
          <w:color w:val="000000"/>
          <w:sz w:val="20"/>
          <w:szCs w:val="20"/>
        </w:rPr>
      </w:pPr>
    </w:p>
    <w:p w:rsidR="00470480" w:rsidRPr="00470480" w:rsidRDefault="00470480" w:rsidP="00470480">
      <w:pPr>
        <w:pStyle w:val="NormalWeb"/>
        <w:rPr>
          <w:rFonts w:ascii="Arial" w:hAnsi="Arial" w:cs="Arial"/>
          <w:color w:val="000000"/>
          <w:sz w:val="20"/>
          <w:szCs w:val="20"/>
        </w:rPr>
      </w:pPr>
    </w:p>
    <w:p w:rsidR="00470480" w:rsidRPr="00470480" w:rsidRDefault="00470480" w:rsidP="00470480">
      <w:pPr>
        <w:pStyle w:val="NormalWeb"/>
        <w:rPr>
          <w:rFonts w:ascii="Arial" w:hAnsi="Arial" w:cs="Arial"/>
          <w:color w:val="000000"/>
          <w:sz w:val="20"/>
          <w:szCs w:val="20"/>
        </w:rPr>
      </w:pPr>
    </w:p>
    <w:p w:rsidR="00470480" w:rsidRPr="00470480" w:rsidRDefault="00470480" w:rsidP="00470480">
      <w:pPr>
        <w:pStyle w:val="NormalWeb"/>
        <w:rPr>
          <w:rFonts w:ascii="Arial" w:hAnsi="Arial" w:cs="Arial"/>
          <w:color w:val="000000"/>
          <w:sz w:val="20"/>
          <w:szCs w:val="20"/>
        </w:rPr>
      </w:pPr>
    </w:p>
    <w:p w:rsidR="00470480" w:rsidRPr="00470480" w:rsidRDefault="00470480" w:rsidP="00470480">
      <w:pPr>
        <w:pStyle w:val="NormalWeb"/>
        <w:rPr>
          <w:rFonts w:ascii="Arial" w:hAnsi="Arial" w:cs="Arial"/>
          <w:color w:val="000000"/>
          <w:sz w:val="20"/>
          <w:szCs w:val="20"/>
        </w:rPr>
      </w:pPr>
    </w:p>
    <w:p w:rsidR="00470480" w:rsidRPr="00470480" w:rsidRDefault="00470480" w:rsidP="00470480">
      <w:pPr>
        <w:pStyle w:val="NormalWeb"/>
        <w:rPr>
          <w:rFonts w:ascii="Arial" w:hAnsi="Arial" w:cs="Arial"/>
          <w:color w:val="000000"/>
          <w:sz w:val="20"/>
          <w:szCs w:val="20"/>
        </w:rPr>
      </w:pPr>
    </w:p>
    <w:p w:rsidR="00957BFA" w:rsidRDefault="00957BFA" w:rsidP="00470480">
      <w:pPr>
        <w:pStyle w:val="NormalWeb"/>
        <w:rPr>
          <w:rFonts w:ascii="Arial" w:hAnsi="Arial" w:cs="Arial"/>
          <w:b/>
          <w:bCs/>
          <w:color w:val="000000"/>
          <w:sz w:val="20"/>
          <w:szCs w:val="20"/>
        </w:rPr>
      </w:pPr>
    </w:p>
    <w:p w:rsidR="00957BFA" w:rsidRDefault="00957BFA" w:rsidP="00470480">
      <w:pPr>
        <w:pStyle w:val="NormalWeb"/>
        <w:rPr>
          <w:rFonts w:ascii="Arial" w:hAnsi="Arial" w:cs="Arial"/>
          <w:b/>
          <w:bCs/>
          <w:color w:val="000000"/>
          <w:sz w:val="20"/>
          <w:szCs w:val="20"/>
        </w:rPr>
      </w:pPr>
    </w:p>
    <w:p w:rsidR="00957BFA" w:rsidRDefault="00957BFA" w:rsidP="00470480">
      <w:pPr>
        <w:pStyle w:val="NormalWeb"/>
        <w:rPr>
          <w:rFonts w:ascii="Arial" w:hAnsi="Arial" w:cs="Arial"/>
          <w:b/>
          <w:bCs/>
          <w:color w:val="000000"/>
          <w:sz w:val="20"/>
          <w:szCs w:val="20"/>
        </w:rPr>
      </w:pPr>
    </w:p>
    <w:p w:rsidR="00470480" w:rsidRPr="00470480" w:rsidRDefault="00470480" w:rsidP="00470480">
      <w:pPr>
        <w:pStyle w:val="NormalWeb"/>
        <w:rPr>
          <w:rFonts w:ascii="Arial" w:hAnsi="Arial" w:cs="Arial"/>
          <w:b/>
          <w:bCs/>
          <w:color w:val="000000"/>
          <w:sz w:val="20"/>
          <w:szCs w:val="20"/>
        </w:rPr>
      </w:pPr>
      <w:r w:rsidRPr="00470480">
        <w:rPr>
          <w:rFonts w:ascii="Arial" w:hAnsi="Arial" w:cs="Arial"/>
          <w:b/>
          <w:bCs/>
          <w:color w:val="000000"/>
          <w:sz w:val="20"/>
          <w:szCs w:val="20"/>
        </w:rPr>
        <w:t>Retail Direct Scheme – Market Making</w:t>
      </w:r>
    </w:p>
    <w:p w:rsidR="00470480" w:rsidRPr="00470480" w:rsidRDefault="00470480" w:rsidP="00470480">
      <w:pPr>
        <w:pStyle w:val="NormalWeb"/>
        <w:jc w:val="both"/>
        <w:rPr>
          <w:rFonts w:ascii="Arial" w:hAnsi="Arial" w:cs="Arial"/>
          <w:color w:val="000000"/>
          <w:sz w:val="20"/>
          <w:szCs w:val="20"/>
        </w:rPr>
      </w:pPr>
    </w:p>
    <w:p w:rsidR="00470480" w:rsidRPr="00470480" w:rsidRDefault="00470480" w:rsidP="00470480">
      <w:pPr>
        <w:pStyle w:val="NormalWeb"/>
        <w:jc w:val="both"/>
        <w:rPr>
          <w:rFonts w:ascii="Arial" w:hAnsi="Arial" w:cs="Arial"/>
          <w:color w:val="000000"/>
          <w:sz w:val="20"/>
          <w:szCs w:val="20"/>
        </w:rPr>
      </w:pPr>
      <w:r w:rsidRPr="00470480">
        <w:rPr>
          <w:rFonts w:ascii="Arial" w:hAnsi="Arial" w:cs="Arial"/>
          <w:color w:val="000000"/>
          <w:sz w:val="20"/>
          <w:szCs w:val="20"/>
        </w:rPr>
        <w:t>RBI/2021-22/147</w:t>
      </w:r>
      <w:r w:rsidRPr="00470480">
        <w:rPr>
          <w:rFonts w:ascii="Arial" w:hAnsi="Arial" w:cs="Arial"/>
          <w:color w:val="000000"/>
          <w:sz w:val="20"/>
          <w:szCs w:val="20"/>
        </w:rPr>
        <w:br/>
        <w:t>IDMD.PDRD.No.S1617/03.64.023/2021-22</w:t>
      </w:r>
    </w:p>
    <w:p w:rsidR="00470480" w:rsidRPr="00470480" w:rsidRDefault="00470480" w:rsidP="00470480">
      <w:pPr>
        <w:pStyle w:val="NormalWeb"/>
        <w:jc w:val="right"/>
        <w:rPr>
          <w:rFonts w:ascii="Arial" w:hAnsi="Arial" w:cs="Arial"/>
          <w:color w:val="000000"/>
          <w:sz w:val="20"/>
          <w:szCs w:val="20"/>
        </w:rPr>
      </w:pPr>
      <w:r w:rsidRPr="00470480">
        <w:rPr>
          <w:rFonts w:ascii="Arial" w:hAnsi="Arial" w:cs="Arial"/>
          <w:color w:val="000000"/>
          <w:sz w:val="20"/>
          <w:szCs w:val="20"/>
        </w:rPr>
        <w:t>January 04, 2022</w:t>
      </w:r>
    </w:p>
    <w:p w:rsidR="00470480" w:rsidRPr="00470480" w:rsidRDefault="00470480" w:rsidP="00470480">
      <w:pPr>
        <w:pStyle w:val="NormalWeb"/>
        <w:jc w:val="both"/>
        <w:rPr>
          <w:rFonts w:ascii="Arial" w:hAnsi="Arial" w:cs="Arial"/>
          <w:color w:val="000000"/>
          <w:sz w:val="20"/>
          <w:szCs w:val="20"/>
        </w:rPr>
      </w:pPr>
      <w:r w:rsidRPr="00470480">
        <w:rPr>
          <w:rFonts w:ascii="Arial" w:hAnsi="Arial" w:cs="Arial"/>
          <w:color w:val="000000"/>
          <w:sz w:val="20"/>
          <w:szCs w:val="20"/>
        </w:rPr>
        <w:t>All Primary Dealers</w:t>
      </w:r>
    </w:p>
    <w:p w:rsidR="00470480" w:rsidRPr="00470480" w:rsidRDefault="00470480" w:rsidP="00470480">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470480" w:rsidRPr="00470480" w:rsidRDefault="00470480" w:rsidP="00470480">
      <w:pPr>
        <w:pStyle w:val="head"/>
        <w:jc w:val="both"/>
        <w:rPr>
          <w:rFonts w:ascii="Arial" w:hAnsi="Arial" w:cs="Arial"/>
          <w:b/>
          <w:bCs/>
          <w:color w:val="000000"/>
          <w:sz w:val="20"/>
          <w:szCs w:val="20"/>
        </w:rPr>
      </w:pPr>
      <w:r w:rsidRPr="00470480">
        <w:rPr>
          <w:rFonts w:ascii="Arial" w:hAnsi="Arial" w:cs="Arial"/>
          <w:b/>
          <w:bCs/>
          <w:color w:val="000000"/>
          <w:sz w:val="20"/>
          <w:szCs w:val="20"/>
        </w:rPr>
        <w:t>Retail Direct Scheme – Market Making</w:t>
      </w:r>
    </w:p>
    <w:p w:rsidR="00470480" w:rsidRPr="00470480" w:rsidRDefault="00FD1759" w:rsidP="00470480">
      <w:pPr>
        <w:pStyle w:val="NormalWeb"/>
        <w:jc w:val="both"/>
        <w:rPr>
          <w:rFonts w:ascii="Arial" w:hAnsi="Arial" w:cs="Arial"/>
          <w:color w:val="000000"/>
          <w:sz w:val="20"/>
          <w:szCs w:val="20"/>
        </w:rPr>
      </w:pPr>
      <w:hyperlink r:id="rId332" w:tgtFrame="_blank" w:history="1">
        <w:r w:rsidR="00470480" w:rsidRPr="00470480">
          <w:rPr>
            <w:rStyle w:val="Hyperlink"/>
            <w:rFonts w:ascii="Arial" w:hAnsi="Arial" w:cs="Arial"/>
            <w:sz w:val="20"/>
            <w:szCs w:val="20"/>
          </w:rPr>
          <w:t>RBI Retail Direct Scheme has been launched on November 12, 2021</w:t>
        </w:r>
      </w:hyperlink>
      <w:r w:rsidR="00470480" w:rsidRPr="00470480">
        <w:rPr>
          <w:rFonts w:ascii="Arial" w:hAnsi="Arial" w:cs="Arial"/>
          <w:color w:val="000000"/>
          <w:sz w:val="20"/>
          <w:szCs w:val="20"/>
        </w:rPr>
        <w:t> for providing one-stop access to facilitate investment in Government Securities by retail investors. In this connection, to provide liquidity in the secondary market, a market making arrangement, wherein the Primary Dealers shall be present on the NDS-OM platform (odd-lot and Request for Quotes segments) throughout market hours and respond to buy/sell requests from Retail Direct Gilt Account Holders (RDGAHs), is enclosed as </w:t>
      </w:r>
      <w:hyperlink r:id="rId333" w:anchor="AN" w:history="1">
        <w:r w:rsidR="00470480" w:rsidRPr="00470480">
          <w:rPr>
            <w:rStyle w:val="Hyperlink"/>
            <w:rFonts w:ascii="Arial" w:hAnsi="Arial" w:cs="Arial"/>
            <w:sz w:val="20"/>
            <w:szCs w:val="20"/>
          </w:rPr>
          <w:t>Annex</w:t>
        </w:r>
      </w:hyperlink>
      <w:r w:rsidR="00470480" w:rsidRPr="00470480">
        <w:rPr>
          <w:rFonts w:ascii="Arial" w:hAnsi="Arial" w:cs="Arial"/>
          <w:color w:val="000000"/>
          <w:sz w:val="20"/>
          <w:szCs w:val="20"/>
        </w:rPr>
        <w:t>.</w:t>
      </w:r>
    </w:p>
    <w:p w:rsidR="00470480" w:rsidRPr="00470480" w:rsidRDefault="00470480" w:rsidP="00470480">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470480" w:rsidRPr="00470480" w:rsidRDefault="00470480" w:rsidP="00957BFA">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Latha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Vishwanath</w:t>
      </w:r>
      <w:proofErr w:type="spellEnd"/>
      <w:r w:rsidRPr="00470480">
        <w:rPr>
          <w:rFonts w:ascii="Arial" w:hAnsi="Arial" w:cs="Arial"/>
          <w:color w:val="000000"/>
          <w:sz w:val="20"/>
          <w:szCs w:val="20"/>
        </w:rPr>
        <w:t>)</w:t>
      </w:r>
      <w:r w:rsidRPr="00470480">
        <w:rPr>
          <w:rFonts w:ascii="Arial" w:hAnsi="Arial" w:cs="Arial"/>
          <w:color w:val="000000"/>
          <w:sz w:val="20"/>
          <w:szCs w:val="20"/>
        </w:rPr>
        <w:br/>
        <w:t>General Manager</w:t>
      </w:r>
    </w:p>
    <w:p w:rsidR="00470480" w:rsidRPr="00470480" w:rsidRDefault="00470480" w:rsidP="00470480">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470480" w:rsidRPr="00470480" w:rsidRDefault="00470480" w:rsidP="00470480">
      <w:pPr>
        <w:pStyle w:val="NormalWeb"/>
        <w:rPr>
          <w:rFonts w:ascii="Arial" w:hAnsi="Arial" w:cs="Arial"/>
          <w:color w:val="000000"/>
          <w:sz w:val="20"/>
          <w:szCs w:val="20"/>
        </w:rPr>
      </w:pPr>
    </w:p>
    <w:p w:rsidR="00470480" w:rsidRPr="00470480" w:rsidRDefault="00957BFA" w:rsidP="00957BFA">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For more details, refer to the link below.</w:t>
      </w:r>
    </w:p>
    <w:p w:rsidR="00470480" w:rsidRPr="00470480" w:rsidRDefault="00470480" w:rsidP="00957BFA">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334" w:history="1">
        <w:r w:rsidRPr="00470480">
          <w:rPr>
            <w:rStyle w:val="Hyperlink"/>
            <w:rFonts w:ascii="Arial" w:hAnsi="Arial" w:cs="Arial"/>
            <w:sz w:val="20"/>
            <w:szCs w:val="20"/>
          </w:rPr>
          <w:t>https://www.rbi.org.in/Scripts/NotificationUser.aspx?Id=12216&amp;Mode=0</w:t>
        </w:r>
      </w:hyperlink>
    </w:p>
    <w:p w:rsidR="00470480" w:rsidRPr="00470480" w:rsidRDefault="00470480" w:rsidP="00470480">
      <w:pPr>
        <w:pStyle w:val="NormalWeb"/>
        <w:rPr>
          <w:rFonts w:ascii="Arial" w:hAnsi="Arial" w:cs="Arial"/>
          <w:b/>
          <w:bCs/>
          <w:color w:val="000000"/>
          <w:sz w:val="20"/>
          <w:szCs w:val="20"/>
        </w:rPr>
      </w:pPr>
    </w:p>
    <w:p w:rsidR="00470480" w:rsidRPr="00470480" w:rsidRDefault="00470480" w:rsidP="00470480">
      <w:pPr>
        <w:pStyle w:val="NormalWeb"/>
        <w:rPr>
          <w:rFonts w:ascii="Arial" w:hAnsi="Arial" w:cs="Arial"/>
          <w:b/>
          <w:bCs/>
          <w:color w:val="000000"/>
          <w:sz w:val="20"/>
          <w:szCs w:val="20"/>
        </w:rPr>
      </w:pPr>
    </w:p>
    <w:p w:rsidR="00470480" w:rsidRPr="00470480" w:rsidRDefault="00470480" w:rsidP="00470480">
      <w:pPr>
        <w:pStyle w:val="NormalWeb"/>
        <w:rPr>
          <w:rFonts w:ascii="Arial" w:hAnsi="Arial" w:cs="Arial"/>
          <w:b/>
          <w:bCs/>
          <w:color w:val="000000"/>
          <w:sz w:val="20"/>
          <w:szCs w:val="20"/>
        </w:rPr>
      </w:pPr>
    </w:p>
    <w:p w:rsidR="00470480" w:rsidRPr="00470480" w:rsidRDefault="00470480" w:rsidP="00470480">
      <w:pPr>
        <w:pStyle w:val="NormalWeb"/>
        <w:rPr>
          <w:rFonts w:ascii="Arial" w:hAnsi="Arial" w:cs="Arial"/>
          <w:b/>
          <w:bCs/>
          <w:color w:val="000000"/>
          <w:sz w:val="20"/>
          <w:szCs w:val="20"/>
        </w:rPr>
      </w:pPr>
    </w:p>
    <w:p w:rsidR="00470480" w:rsidRPr="00470480" w:rsidRDefault="00470480" w:rsidP="00470480">
      <w:pPr>
        <w:pStyle w:val="NormalWeb"/>
        <w:rPr>
          <w:rFonts w:ascii="Arial" w:hAnsi="Arial" w:cs="Arial"/>
          <w:b/>
          <w:bCs/>
          <w:color w:val="000000"/>
          <w:sz w:val="20"/>
          <w:szCs w:val="20"/>
        </w:rPr>
      </w:pPr>
    </w:p>
    <w:p w:rsidR="00470480" w:rsidRPr="00470480" w:rsidRDefault="00470480" w:rsidP="00470480">
      <w:pPr>
        <w:pStyle w:val="NormalWeb"/>
        <w:rPr>
          <w:rFonts w:ascii="Arial" w:hAnsi="Arial" w:cs="Arial"/>
          <w:b/>
          <w:bCs/>
          <w:color w:val="000000"/>
          <w:sz w:val="20"/>
          <w:szCs w:val="20"/>
        </w:rPr>
      </w:pPr>
    </w:p>
    <w:p w:rsidR="00470480" w:rsidRPr="00470480" w:rsidRDefault="00470480" w:rsidP="00470480">
      <w:pPr>
        <w:pStyle w:val="NormalWeb"/>
        <w:rPr>
          <w:rFonts w:ascii="Arial" w:hAnsi="Arial" w:cs="Arial"/>
          <w:b/>
          <w:bCs/>
          <w:color w:val="000000"/>
          <w:sz w:val="20"/>
          <w:szCs w:val="20"/>
        </w:rPr>
      </w:pPr>
    </w:p>
    <w:p w:rsidR="00470480" w:rsidRPr="00470480" w:rsidRDefault="00470480" w:rsidP="00470480">
      <w:pPr>
        <w:pStyle w:val="NormalWeb"/>
        <w:rPr>
          <w:rFonts w:ascii="Arial" w:hAnsi="Arial" w:cs="Arial"/>
          <w:b/>
          <w:bCs/>
          <w:color w:val="000000"/>
          <w:sz w:val="20"/>
          <w:szCs w:val="20"/>
        </w:rPr>
      </w:pPr>
    </w:p>
    <w:p w:rsidR="00470480" w:rsidRPr="00470480" w:rsidRDefault="00470480" w:rsidP="00470480">
      <w:pPr>
        <w:pStyle w:val="NormalWeb"/>
        <w:rPr>
          <w:rFonts w:ascii="Arial" w:hAnsi="Arial" w:cs="Arial"/>
          <w:b/>
          <w:bCs/>
          <w:color w:val="000000"/>
          <w:sz w:val="20"/>
          <w:szCs w:val="20"/>
        </w:rPr>
      </w:pPr>
    </w:p>
    <w:p w:rsidR="00470480" w:rsidRPr="00470480" w:rsidRDefault="00470480" w:rsidP="00470480">
      <w:pPr>
        <w:pStyle w:val="NormalWeb"/>
        <w:rPr>
          <w:rFonts w:ascii="Arial" w:hAnsi="Arial" w:cs="Arial"/>
          <w:b/>
          <w:bCs/>
          <w:color w:val="000000"/>
          <w:sz w:val="20"/>
          <w:szCs w:val="20"/>
        </w:rPr>
      </w:pPr>
    </w:p>
    <w:p w:rsidR="00470480" w:rsidRPr="00470480" w:rsidRDefault="00470480" w:rsidP="00470480">
      <w:pPr>
        <w:pStyle w:val="NormalWeb"/>
        <w:rPr>
          <w:rFonts w:ascii="Arial" w:hAnsi="Arial" w:cs="Arial"/>
          <w:b/>
          <w:bCs/>
          <w:color w:val="000000"/>
          <w:sz w:val="20"/>
          <w:szCs w:val="20"/>
        </w:rPr>
      </w:pPr>
    </w:p>
    <w:p w:rsidR="00470480" w:rsidRPr="00470480" w:rsidRDefault="00470480" w:rsidP="00470480">
      <w:pPr>
        <w:pStyle w:val="NormalWeb"/>
        <w:rPr>
          <w:rFonts w:ascii="Arial" w:hAnsi="Arial" w:cs="Arial"/>
          <w:b/>
          <w:bCs/>
          <w:color w:val="000000"/>
          <w:sz w:val="20"/>
          <w:szCs w:val="20"/>
        </w:rPr>
      </w:pPr>
    </w:p>
    <w:p w:rsidR="00470480" w:rsidRPr="00470480" w:rsidRDefault="00470480" w:rsidP="00470480">
      <w:pPr>
        <w:pStyle w:val="NormalWeb"/>
        <w:rPr>
          <w:rFonts w:ascii="Arial" w:hAnsi="Arial" w:cs="Arial"/>
          <w:b/>
          <w:bCs/>
          <w:color w:val="000000"/>
          <w:sz w:val="20"/>
          <w:szCs w:val="20"/>
        </w:rPr>
      </w:pPr>
      <w:r w:rsidRPr="00470480">
        <w:rPr>
          <w:rFonts w:ascii="Arial" w:hAnsi="Arial" w:cs="Arial"/>
          <w:b/>
          <w:bCs/>
          <w:color w:val="000000"/>
          <w:sz w:val="20"/>
          <w:szCs w:val="20"/>
        </w:rPr>
        <w:t>Framework for Facilitating Small Value Digital Payments in Offline Mode</w:t>
      </w:r>
    </w:p>
    <w:p w:rsidR="00470480" w:rsidRPr="00470480" w:rsidRDefault="00470480" w:rsidP="00470480">
      <w:pPr>
        <w:pStyle w:val="NormalWeb"/>
        <w:rPr>
          <w:rFonts w:ascii="Arial" w:hAnsi="Arial" w:cs="Arial"/>
          <w:b/>
          <w:bCs/>
          <w:color w:val="000000"/>
          <w:sz w:val="20"/>
          <w:szCs w:val="20"/>
        </w:rPr>
      </w:pPr>
    </w:p>
    <w:p w:rsidR="00470480" w:rsidRPr="00470480" w:rsidRDefault="00470480" w:rsidP="00470480">
      <w:pPr>
        <w:pStyle w:val="NormalWeb"/>
        <w:jc w:val="both"/>
        <w:rPr>
          <w:rFonts w:ascii="Arial" w:hAnsi="Arial" w:cs="Arial"/>
          <w:color w:val="000000"/>
          <w:sz w:val="20"/>
          <w:szCs w:val="20"/>
        </w:rPr>
      </w:pPr>
      <w:r w:rsidRPr="00470480">
        <w:rPr>
          <w:rFonts w:ascii="Arial" w:hAnsi="Arial" w:cs="Arial"/>
          <w:color w:val="000000"/>
          <w:sz w:val="20"/>
          <w:szCs w:val="20"/>
        </w:rPr>
        <w:t>RBI/2021-22/146</w:t>
      </w:r>
      <w:r w:rsidRPr="00470480">
        <w:rPr>
          <w:rFonts w:ascii="Arial" w:hAnsi="Arial" w:cs="Arial"/>
          <w:color w:val="000000"/>
          <w:sz w:val="20"/>
          <w:szCs w:val="20"/>
        </w:rPr>
        <w:br/>
        <w:t>CO.DPSS.POLC.No.S1264/02-14-003/2021-2022</w:t>
      </w:r>
    </w:p>
    <w:p w:rsidR="00470480" w:rsidRPr="00470480" w:rsidRDefault="00470480" w:rsidP="00470480">
      <w:pPr>
        <w:pStyle w:val="NormalWeb"/>
        <w:jc w:val="right"/>
        <w:rPr>
          <w:rFonts w:ascii="Arial" w:hAnsi="Arial" w:cs="Arial"/>
          <w:color w:val="000000"/>
          <w:sz w:val="20"/>
          <w:szCs w:val="20"/>
        </w:rPr>
      </w:pPr>
      <w:r w:rsidRPr="00470480">
        <w:rPr>
          <w:rFonts w:ascii="Arial" w:hAnsi="Arial" w:cs="Arial"/>
          <w:color w:val="000000"/>
          <w:sz w:val="20"/>
          <w:szCs w:val="20"/>
        </w:rPr>
        <w:t>January 03, 2022</w:t>
      </w:r>
    </w:p>
    <w:p w:rsidR="00470480" w:rsidRPr="00470480" w:rsidRDefault="00470480" w:rsidP="00470480">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Authorised Payment System Operators and Participants (Banks and Non-banks)</w:t>
      </w:r>
    </w:p>
    <w:p w:rsidR="00470480" w:rsidRPr="00470480" w:rsidRDefault="00470480" w:rsidP="00470480">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470480" w:rsidRPr="00470480" w:rsidRDefault="00470480" w:rsidP="00470480">
      <w:pPr>
        <w:pStyle w:val="head"/>
        <w:jc w:val="both"/>
        <w:rPr>
          <w:rFonts w:ascii="Arial" w:hAnsi="Arial" w:cs="Arial"/>
          <w:b/>
          <w:bCs/>
          <w:color w:val="000000"/>
          <w:sz w:val="20"/>
          <w:szCs w:val="20"/>
        </w:rPr>
      </w:pPr>
      <w:r w:rsidRPr="00470480">
        <w:rPr>
          <w:rFonts w:ascii="Arial" w:hAnsi="Arial" w:cs="Arial"/>
          <w:b/>
          <w:bCs/>
          <w:color w:val="000000"/>
          <w:sz w:val="20"/>
          <w:szCs w:val="20"/>
        </w:rPr>
        <w:t>Framework for Facilitating Small Value Digital Payments in Offline Mode</w:t>
      </w:r>
    </w:p>
    <w:p w:rsidR="00470480" w:rsidRPr="00470480" w:rsidRDefault="00470480" w:rsidP="00470480">
      <w:pPr>
        <w:pStyle w:val="NormalWeb"/>
        <w:jc w:val="both"/>
        <w:rPr>
          <w:rFonts w:ascii="Arial" w:hAnsi="Arial" w:cs="Arial"/>
          <w:color w:val="000000"/>
          <w:sz w:val="20"/>
          <w:szCs w:val="20"/>
        </w:rPr>
      </w:pPr>
      <w:r w:rsidRPr="00470480">
        <w:rPr>
          <w:rFonts w:ascii="Arial" w:hAnsi="Arial" w:cs="Arial"/>
          <w:color w:val="000000"/>
          <w:sz w:val="20"/>
          <w:szCs w:val="20"/>
        </w:rPr>
        <w:t>Reserve Bank had, vide </w:t>
      </w:r>
      <w:hyperlink r:id="rId335" w:tgtFrame="_blank" w:history="1">
        <w:r w:rsidRPr="00470480">
          <w:rPr>
            <w:rStyle w:val="Hyperlink"/>
            <w:rFonts w:ascii="Arial" w:hAnsi="Arial" w:cs="Arial"/>
            <w:sz w:val="20"/>
            <w:szCs w:val="20"/>
          </w:rPr>
          <w:t>circular dated August 06, 2020</w:t>
        </w:r>
      </w:hyperlink>
      <w:r w:rsidRPr="00470480">
        <w:rPr>
          <w:rFonts w:ascii="Arial" w:hAnsi="Arial" w:cs="Arial"/>
          <w:color w:val="000000"/>
          <w:sz w:val="20"/>
          <w:szCs w:val="20"/>
        </w:rPr>
        <w:t>, permitted a pilot scheme to encourage technological innovations that enable small value digital transactions in offline mode. It was stated therein that the decision on formalising such a system would be based on the experience gained.</w:t>
      </w:r>
    </w:p>
    <w:p w:rsidR="00470480" w:rsidRPr="00470480" w:rsidRDefault="00470480" w:rsidP="00470480">
      <w:pPr>
        <w:pStyle w:val="NormalWeb"/>
        <w:jc w:val="both"/>
        <w:rPr>
          <w:rFonts w:ascii="Arial" w:hAnsi="Arial" w:cs="Arial"/>
          <w:color w:val="000000"/>
          <w:sz w:val="20"/>
          <w:szCs w:val="20"/>
        </w:rPr>
      </w:pPr>
      <w:r w:rsidRPr="00470480">
        <w:rPr>
          <w:rFonts w:ascii="Arial" w:hAnsi="Arial" w:cs="Arial"/>
          <w:color w:val="000000"/>
          <w:sz w:val="20"/>
          <w:szCs w:val="20"/>
        </w:rPr>
        <w:t>2. Pilot testing was undertaken by some entities during the period from September 2020 to July 2021. With encouraging feedback from the pilots, it was announced in the </w:t>
      </w:r>
      <w:hyperlink r:id="rId336" w:tgtFrame="_blank" w:history="1">
        <w:r w:rsidRPr="00470480">
          <w:rPr>
            <w:rStyle w:val="Hyperlink"/>
            <w:rFonts w:ascii="Arial" w:hAnsi="Arial" w:cs="Arial"/>
            <w:sz w:val="20"/>
            <w:szCs w:val="20"/>
          </w:rPr>
          <w:t>Statement on Developmental and Regulatory policies dated October 08, 2021</w:t>
        </w:r>
      </w:hyperlink>
      <w:r w:rsidRPr="00470480">
        <w:rPr>
          <w:rFonts w:ascii="Arial" w:hAnsi="Arial" w:cs="Arial"/>
          <w:color w:val="000000"/>
          <w:sz w:val="20"/>
          <w:szCs w:val="20"/>
        </w:rPr>
        <w:t>, that a framework for carrying out small value digital payments in offline mode across the country would be introduced.</w:t>
      </w:r>
    </w:p>
    <w:p w:rsidR="00470480" w:rsidRPr="00470480" w:rsidRDefault="00470480" w:rsidP="00470480">
      <w:pPr>
        <w:pStyle w:val="NormalWeb"/>
        <w:jc w:val="both"/>
        <w:rPr>
          <w:rFonts w:ascii="Arial" w:hAnsi="Arial" w:cs="Arial"/>
          <w:color w:val="000000"/>
          <w:sz w:val="20"/>
          <w:szCs w:val="20"/>
        </w:rPr>
      </w:pPr>
      <w:r w:rsidRPr="00470480">
        <w:rPr>
          <w:rFonts w:ascii="Arial" w:hAnsi="Arial" w:cs="Arial"/>
          <w:color w:val="000000"/>
          <w:sz w:val="20"/>
          <w:szCs w:val="20"/>
        </w:rPr>
        <w:t>3. Accordingly, the framework to enable small value digital payments in offline mode using cards, wallets, mobile devices, etc., is detailed in </w:t>
      </w:r>
      <w:hyperlink r:id="rId337" w:anchor="AN1" w:history="1">
        <w:r w:rsidRPr="00470480">
          <w:rPr>
            <w:rStyle w:val="Hyperlink"/>
            <w:rFonts w:ascii="Arial" w:hAnsi="Arial" w:cs="Arial"/>
            <w:sz w:val="20"/>
            <w:szCs w:val="20"/>
          </w:rPr>
          <w:t>Annex</w:t>
        </w:r>
      </w:hyperlink>
      <w:r w:rsidRPr="00470480">
        <w:rPr>
          <w:rFonts w:ascii="Arial" w:hAnsi="Arial" w:cs="Arial"/>
          <w:color w:val="000000"/>
          <w:sz w:val="20"/>
          <w:szCs w:val="20"/>
        </w:rPr>
        <w:t>. Authorised Payment System Operators (PSOs) and Payment System Participants (PSPs) – Acquirers and Issuers (banks and non-banks) - shall ensure compliance with all the applicable instructions.</w:t>
      </w:r>
    </w:p>
    <w:p w:rsidR="00470480" w:rsidRPr="00470480" w:rsidRDefault="00470480" w:rsidP="00470480">
      <w:pPr>
        <w:pStyle w:val="NormalWeb"/>
        <w:jc w:val="both"/>
        <w:rPr>
          <w:rFonts w:ascii="Arial" w:hAnsi="Arial" w:cs="Arial"/>
          <w:color w:val="000000"/>
          <w:sz w:val="20"/>
          <w:szCs w:val="20"/>
        </w:rPr>
      </w:pPr>
      <w:r w:rsidRPr="00470480">
        <w:rPr>
          <w:rFonts w:ascii="Arial" w:hAnsi="Arial" w:cs="Arial"/>
          <w:color w:val="000000"/>
          <w:sz w:val="20"/>
          <w:szCs w:val="20"/>
        </w:rPr>
        <w:t>4. This directive is issued under Section 10 (2) read with Section 18 of Payment and Settlement Systems Act, 2007 (Act 51 of 2007) and shall come into effect immediately.</w:t>
      </w:r>
    </w:p>
    <w:p w:rsidR="00470480" w:rsidRPr="00470480" w:rsidRDefault="00470480" w:rsidP="00470480">
      <w:pPr>
        <w:pStyle w:val="NormalWeb"/>
        <w:rPr>
          <w:rFonts w:ascii="Arial" w:hAnsi="Arial" w:cs="Arial"/>
          <w:color w:val="000000"/>
          <w:sz w:val="20"/>
          <w:szCs w:val="20"/>
        </w:rPr>
      </w:pPr>
      <w:r w:rsidRPr="00470480">
        <w:rPr>
          <w:rFonts w:ascii="Arial" w:hAnsi="Arial" w:cs="Arial"/>
          <w:color w:val="000000"/>
          <w:sz w:val="20"/>
          <w:szCs w:val="20"/>
        </w:rPr>
        <w:t>Yours faithfully,</w:t>
      </w:r>
    </w:p>
    <w:p w:rsidR="00470480" w:rsidRPr="00470480" w:rsidRDefault="00470480" w:rsidP="00470480">
      <w:pPr>
        <w:pStyle w:val="NormalWeb"/>
        <w:rPr>
          <w:rFonts w:ascii="Arial" w:hAnsi="Arial" w:cs="Arial"/>
          <w:color w:val="000000"/>
          <w:sz w:val="20"/>
          <w:szCs w:val="20"/>
        </w:rPr>
      </w:pPr>
      <w:r w:rsidRPr="00470480">
        <w:rPr>
          <w:rFonts w:ascii="Arial" w:hAnsi="Arial" w:cs="Arial"/>
          <w:color w:val="000000"/>
          <w:sz w:val="20"/>
          <w:szCs w:val="20"/>
        </w:rPr>
        <w:t xml:space="preserve">(P </w:t>
      </w:r>
      <w:proofErr w:type="spellStart"/>
      <w:r w:rsidRPr="00470480">
        <w:rPr>
          <w:rFonts w:ascii="Arial" w:hAnsi="Arial" w:cs="Arial"/>
          <w:color w:val="000000"/>
          <w:sz w:val="20"/>
          <w:szCs w:val="20"/>
        </w:rPr>
        <w:t>Vasudevan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957BFA" w:rsidRDefault="00957BFA" w:rsidP="00470480">
      <w:pPr>
        <w:pStyle w:val="NormalWeb"/>
        <w:rPr>
          <w:rFonts w:ascii="Arial" w:hAnsi="Arial" w:cs="Arial"/>
          <w:color w:val="000000"/>
          <w:sz w:val="20"/>
          <w:szCs w:val="20"/>
        </w:rPr>
      </w:pPr>
    </w:p>
    <w:p w:rsidR="00470480" w:rsidRDefault="00957BFA" w:rsidP="00470480">
      <w:pPr>
        <w:pStyle w:val="NormalWeb"/>
        <w:rPr>
          <w:rFonts w:ascii="Arial" w:hAnsi="Arial" w:cs="Arial"/>
          <w:color w:val="000000"/>
          <w:sz w:val="20"/>
          <w:szCs w:val="20"/>
        </w:rPr>
      </w:pPr>
      <w:r>
        <w:rPr>
          <w:rFonts w:ascii="Arial" w:hAnsi="Arial" w:cs="Arial"/>
          <w:color w:val="000000"/>
          <w:sz w:val="20"/>
          <w:szCs w:val="20"/>
        </w:rPr>
        <w:t xml:space="preserve">Reference Link: </w:t>
      </w:r>
      <w:hyperlink r:id="rId338" w:history="1">
        <w:r w:rsidRPr="004D48F4">
          <w:rPr>
            <w:rStyle w:val="Hyperlink"/>
            <w:rFonts w:ascii="Arial" w:hAnsi="Arial" w:cs="Arial"/>
            <w:sz w:val="20"/>
            <w:szCs w:val="20"/>
          </w:rPr>
          <w:t>https://www.rbi.org.in/Scripts/NotificationUser.aspx?Id=12215&amp;Mode=0</w:t>
        </w:r>
      </w:hyperlink>
    </w:p>
    <w:p w:rsidR="00957BFA" w:rsidRPr="00470480" w:rsidRDefault="00957BFA" w:rsidP="00470480">
      <w:pPr>
        <w:pStyle w:val="NormalWeb"/>
        <w:rPr>
          <w:rFonts w:ascii="Arial" w:hAnsi="Arial" w:cs="Arial"/>
          <w:color w:val="000000"/>
          <w:sz w:val="20"/>
          <w:szCs w:val="20"/>
        </w:rPr>
      </w:pPr>
    </w:p>
    <w:p w:rsidR="00470480" w:rsidRPr="00470480" w:rsidRDefault="00470480" w:rsidP="00470480">
      <w:pPr>
        <w:pStyle w:val="NormalWeb"/>
        <w:rPr>
          <w:rFonts w:ascii="Arial" w:hAnsi="Arial" w:cs="Arial"/>
          <w:color w:val="000000"/>
          <w:sz w:val="20"/>
          <w:szCs w:val="20"/>
        </w:rPr>
      </w:pPr>
    </w:p>
    <w:p w:rsidR="004107B0" w:rsidRPr="00470480" w:rsidRDefault="004107B0" w:rsidP="00BE4BD6">
      <w:pPr>
        <w:spacing w:after="0"/>
        <w:jc w:val="both"/>
        <w:rPr>
          <w:rFonts w:ascii="Arial" w:hAnsi="Arial" w:cs="Arial"/>
          <w:sz w:val="20"/>
          <w:szCs w:val="20"/>
        </w:rPr>
      </w:pPr>
    </w:p>
    <w:sectPr w:rsidR="004107B0" w:rsidRPr="00470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E96"/>
    <w:multiLevelType w:val="multilevel"/>
    <w:tmpl w:val="1E7602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195491"/>
    <w:multiLevelType w:val="multilevel"/>
    <w:tmpl w:val="2C06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6E008E"/>
    <w:multiLevelType w:val="multilevel"/>
    <w:tmpl w:val="FE20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F3502E"/>
    <w:multiLevelType w:val="multilevel"/>
    <w:tmpl w:val="5A1A0E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39D5B0F"/>
    <w:multiLevelType w:val="multilevel"/>
    <w:tmpl w:val="55DC56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41559C7"/>
    <w:multiLevelType w:val="multilevel"/>
    <w:tmpl w:val="F7144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4347D85"/>
    <w:multiLevelType w:val="multilevel"/>
    <w:tmpl w:val="4F26B6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5FE7E5B"/>
    <w:multiLevelType w:val="multilevel"/>
    <w:tmpl w:val="5AF4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1A3B37"/>
    <w:multiLevelType w:val="multilevel"/>
    <w:tmpl w:val="C518C5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6395C78"/>
    <w:multiLevelType w:val="multilevel"/>
    <w:tmpl w:val="53CAE5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07B7292A"/>
    <w:multiLevelType w:val="multilevel"/>
    <w:tmpl w:val="BB9A84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7F85AC2"/>
    <w:multiLevelType w:val="multilevel"/>
    <w:tmpl w:val="FF701F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83B6003"/>
    <w:multiLevelType w:val="multilevel"/>
    <w:tmpl w:val="2092F3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9D150BA"/>
    <w:multiLevelType w:val="multilevel"/>
    <w:tmpl w:val="544430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A45370C"/>
    <w:multiLevelType w:val="multilevel"/>
    <w:tmpl w:val="099C09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0A522E91"/>
    <w:multiLevelType w:val="multilevel"/>
    <w:tmpl w:val="4F76B3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0B821E5A"/>
    <w:multiLevelType w:val="multilevel"/>
    <w:tmpl w:val="59B844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C083E92"/>
    <w:multiLevelType w:val="multilevel"/>
    <w:tmpl w:val="2A7AFDB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0C7B08C6"/>
    <w:multiLevelType w:val="multilevel"/>
    <w:tmpl w:val="80B03E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0CE1362A"/>
    <w:multiLevelType w:val="multilevel"/>
    <w:tmpl w:val="6A7C7B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0DA473D0"/>
    <w:multiLevelType w:val="multilevel"/>
    <w:tmpl w:val="ACE0B3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0E25456E"/>
    <w:multiLevelType w:val="multilevel"/>
    <w:tmpl w:val="88A8F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0E421F28"/>
    <w:multiLevelType w:val="multilevel"/>
    <w:tmpl w:val="FB1CF7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0E5327B2"/>
    <w:multiLevelType w:val="multilevel"/>
    <w:tmpl w:val="273EE7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11713F08"/>
    <w:multiLevelType w:val="multilevel"/>
    <w:tmpl w:val="B4F83E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1D95C1D"/>
    <w:multiLevelType w:val="multilevel"/>
    <w:tmpl w:val="33F6E3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4C61540"/>
    <w:multiLevelType w:val="multilevel"/>
    <w:tmpl w:val="BD4229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178041BC"/>
    <w:multiLevelType w:val="multilevel"/>
    <w:tmpl w:val="09C2C6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18827648"/>
    <w:multiLevelType w:val="multilevel"/>
    <w:tmpl w:val="E746F6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8B74FAB"/>
    <w:multiLevelType w:val="multilevel"/>
    <w:tmpl w:val="22CC74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C174A07"/>
    <w:multiLevelType w:val="multilevel"/>
    <w:tmpl w:val="84423A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1C2275D3"/>
    <w:multiLevelType w:val="multilevel"/>
    <w:tmpl w:val="C0F02C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1E171D08"/>
    <w:multiLevelType w:val="multilevel"/>
    <w:tmpl w:val="05AE45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1E4C7815"/>
    <w:multiLevelType w:val="multilevel"/>
    <w:tmpl w:val="414C6E6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21305E7F"/>
    <w:multiLevelType w:val="multilevel"/>
    <w:tmpl w:val="04AEC7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43D61AE"/>
    <w:multiLevelType w:val="multilevel"/>
    <w:tmpl w:val="3C96A1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4A63E02"/>
    <w:multiLevelType w:val="multilevel"/>
    <w:tmpl w:val="206C18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5D81B39"/>
    <w:multiLevelType w:val="multilevel"/>
    <w:tmpl w:val="3E90AF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6C10443"/>
    <w:multiLevelType w:val="multilevel"/>
    <w:tmpl w:val="527831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7E82547"/>
    <w:multiLevelType w:val="multilevel"/>
    <w:tmpl w:val="8286B7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285447A4"/>
    <w:multiLevelType w:val="multilevel"/>
    <w:tmpl w:val="468E49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28A921F0"/>
    <w:multiLevelType w:val="multilevel"/>
    <w:tmpl w:val="57EC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9E44AAD"/>
    <w:multiLevelType w:val="multilevel"/>
    <w:tmpl w:val="14767A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2A3913F5"/>
    <w:multiLevelType w:val="multilevel"/>
    <w:tmpl w:val="C3F2D8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2AE00245"/>
    <w:multiLevelType w:val="multilevel"/>
    <w:tmpl w:val="6928AD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2B3258F1"/>
    <w:multiLevelType w:val="multilevel"/>
    <w:tmpl w:val="9B163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2BB27AAA"/>
    <w:multiLevelType w:val="multilevel"/>
    <w:tmpl w:val="271E1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2BD00818"/>
    <w:multiLevelType w:val="multilevel"/>
    <w:tmpl w:val="690425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2C307913"/>
    <w:multiLevelType w:val="multilevel"/>
    <w:tmpl w:val="4324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D6C3CF1"/>
    <w:multiLevelType w:val="multilevel"/>
    <w:tmpl w:val="773483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2EAE7D1C"/>
    <w:multiLevelType w:val="multilevel"/>
    <w:tmpl w:val="C4601F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2F1E50DF"/>
    <w:multiLevelType w:val="multilevel"/>
    <w:tmpl w:val="81B224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2FFA45A1"/>
    <w:multiLevelType w:val="multilevel"/>
    <w:tmpl w:val="F468BB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31704D30"/>
    <w:multiLevelType w:val="multilevel"/>
    <w:tmpl w:val="F63ABA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320814CA"/>
    <w:multiLevelType w:val="multilevel"/>
    <w:tmpl w:val="91FE2E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32535E25"/>
    <w:multiLevelType w:val="multilevel"/>
    <w:tmpl w:val="19D8FA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32C87329"/>
    <w:multiLevelType w:val="multilevel"/>
    <w:tmpl w:val="8B967D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33266A10"/>
    <w:multiLevelType w:val="multilevel"/>
    <w:tmpl w:val="5E2C2A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391013D"/>
    <w:multiLevelType w:val="multilevel"/>
    <w:tmpl w:val="72C805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36395496"/>
    <w:multiLevelType w:val="multilevel"/>
    <w:tmpl w:val="AD6810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37295276"/>
    <w:multiLevelType w:val="multilevel"/>
    <w:tmpl w:val="9BC41E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3824761D"/>
    <w:multiLevelType w:val="multilevel"/>
    <w:tmpl w:val="0C9C35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38710A40"/>
    <w:multiLevelType w:val="multilevel"/>
    <w:tmpl w:val="C92EA4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387D5BF4"/>
    <w:multiLevelType w:val="multilevel"/>
    <w:tmpl w:val="F58245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3938460A"/>
    <w:multiLevelType w:val="multilevel"/>
    <w:tmpl w:val="5FB63B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3A1B6537"/>
    <w:multiLevelType w:val="multilevel"/>
    <w:tmpl w:val="56E286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3A2A257B"/>
    <w:multiLevelType w:val="multilevel"/>
    <w:tmpl w:val="3D7C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BA43886"/>
    <w:multiLevelType w:val="multilevel"/>
    <w:tmpl w:val="7DE88F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3C065F81"/>
    <w:multiLevelType w:val="multilevel"/>
    <w:tmpl w:val="5AFCF0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3C4305F9"/>
    <w:multiLevelType w:val="multilevel"/>
    <w:tmpl w:val="8792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D024280"/>
    <w:multiLevelType w:val="multilevel"/>
    <w:tmpl w:val="BA7E0A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3D1C0D25"/>
    <w:multiLevelType w:val="multilevel"/>
    <w:tmpl w:val="E26E2F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3D3028FD"/>
    <w:multiLevelType w:val="multilevel"/>
    <w:tmpl w:val="78002C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3D4A73C1"/>
    <w:multiLevelType w:val="multilevel"/>
    <w:tmpl w:val="EB46A1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3F153CD8"/>
    <w:multiLevelType w:val="multilevel"/>
    <w:tmpl w:val="E3946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3F2B1A81"/>
    <w:multiLevelType w:val="multilevel"/>
    <w:tmpl w:val="DEE6B0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406813B9"/>
    <w:multiLevelType w:val="multilevel"/>
    <w:tmpl w:val="95EE70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416E67A3"/>
    <w:multiLevelType w:val="multilevel"/>
    <w:tmpl w:val="46FECC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43456275"/>
    <w:multiLevelType w:val="multilevel"/>
    <w:tmpl w:val="B88C64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43B41EE4"/>
    <w:multiLevelType w:val="multilevel"/>
    <w:tmpl w:val="71682B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44AE1B40"/>
    <w:multiLevelType w:val="multilevel"/>
    <w:tmpl w:val="223E12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1" w15:restartNumberingAfterBreak="0">
    <w:nsid w:val="459D5031"/>
    <w:multiLevelType w:val="multilevel"/>
    <w:tmpl w:val="47C602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46B968E2"/>
    <w:multiLevelType w:val="multilevel"/>
    <w:tmpl w:val="F0929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3" w15:restartNumberingAfterBreak="0">
    <w:nsid w:val="47320F77"/>
    <w:multiLevelType w:val="multilevel"/>
    <w:tmpl w:val="D5FE1D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15:restartNumberingAfterBreak="0">
    <w:nsid w:val="474D1265"/>
    <w:multiLevelType w:val="multilevel"/>
    <w:tmpl w:val="DD00E5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48AF1864"/>
    <w:multiLevelType w:val="multilevel"/>
    <w:tmpl w:val="D354D7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4B3869A2"/>
    <w:multiLevelType w:val="multilevel"/>
    <w:tmpl w:val="540825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4B4974C5"/>
    <w:multiLevelType w:val="multilevel"/>
    <w:tmpl w:val="0F5239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4D3A6BD0"/>
    <w:multiLevelType w:val="multilevel"/>
    <w:tmpl w:val="C35E7D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15:restartNumberingAfterBreak="0">
    <w:nsid w:val="4DC37747"/>
    <w:multiLevelType w:val="multilevel"/>
    <w:tmpl w:val="5CF8F0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15:restartNumberingAfterBreak="0">
    <w:nsid w:val="4E2F2AAB"/>
    <w:multiLevelType w:val="multilevel"/>
    <w:tmpl w:val="3F0635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4E3C0EF4"/>
    <w:multiLevelType w:val="multilevel"/>
    <w:tmpl w:val="9B1E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F065FD1"/>
    <w:multiLevelType w:val="multilevel"/>
    <w:tmpl w:val="5C6C33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3" w15:restartNumberingAfterBreak="0">
    <w:nsid w:val="4FDE4472"/>
    <w:multiLevelType w:val="multilevel"/>
    <w:tmpl w:val="2F38FB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50924689"/>
    <w:multiLevelType w:val="multilevel"/>
    <w:tmpl w:val="6800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0F1631A"/>
    <w:multiLevelType w:val="multilevel"/>
    <w:tmpl w:val="3EE8D0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6" w15:restartNumberingAfterBreak="0">
    <w:nsid w:val="516D09DC"/>
    <w:multiLevelType w:val="multilevel"/>
    <w:tmpl w:val="C658CA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7" w15:restartNumberingAfterBreak="0">
    <w:nsid w:val="51EE5FA6"/>
    <w:multiLevelType w:val="multilevel"/>
    <w:tmpl w:val="36EEA8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521D668C"/>
    <w:multiLevelType w:val="multilevel"/>
    <w:tmpl w:val="C5B0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223473E"/>
    <w:multiLevelType w:val="multilevel"/>
    <w:tmpl w:val="9E745D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533841A6"/>
    <w:multiLevelType w:val="multilevel"/>
    <w:tmpl w:val="99387B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15:restartNumberingAfterBreak="0">
    <w:nsid w:val="53D31137"/>
    <w:multiLevelType w:val="multilevel"/>
    <w:tmpl w:val="34FE7B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54BB57FA"/>
    <w:multiLevelType w:val="multilevel"/>
    <w:tmpl w:val="CE30A5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3" w15:restartNumberingAfterBreak="0">
    <w:nsid w:val="565E2A83"/>
    <w:multiLevelType w:val="multilevel"/>
    <w:tmpl w:val="1D2A44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578B44F5"/>
    <w:multiLevelType w:val="multilevel"/>
    <w:tmpl w:val="721886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581C5FEC"/>
    <w:multiLevelType w:val="multilevel"/>
    <w:tmpl w:val="4022A5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587849E3"/>
    <w:multiLevelType w:val="multilevel"/>
    <w:tmpl w:val="BF6E92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593E7385"/>
    <w:multiLevelType w:val="multilevel"/>
    <w:tmpl w:val="078E41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15:restartNumberingAfterBreak="0">
    <w:nsid w:val="5AA41919"/>
    <w:multiLevelType w:val="multilevel"/>
    <w:tmpl w:val="314824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5CA55FA5"/>
    <w:multiLevelType w:val="multilevel"/>
    <w:tmpl w:val="14A6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CE32E51"/>
    <w:multiLevelType w:val="multilevel"/>
    <w:tmpl w:val="0CF4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D294B32"/>
    <w:multiLevelType w:val="multilevel"/>
    <w:tmpl w:val="FA9031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5D333C26"/>
    <w:multiLevelType w:val="multilevel"/>
    <w:tmpl w:val="9CA4C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5E454480"/>
    <w:multiLevelType w:val="multilevel"/>
    <w:tmpl w:val="4C9A34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4" w15:restartNumberingAfterBreak="0">
    <w:nsid w:val="5F616197"/>
    <w:multiLevelType w:val="multilevel"/>
    <w:tmpl w:val="66FAEA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5" w15:restartNumberingAfterBreak="0">
    <w:nsid w:val="5F620D63"/>
    <w:multiLevelType w:val="multilevel"/>
    <w:tmpl w:val="864A5C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6046248F"/>
    <w:multiLevelType w:val="multilevel"/>
    <w:tmpl w:val="8ACC56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60C356D2"/>
    <w:multiLevelType w:val="multilevel"/>
    <w:tmpl w:val="F192F9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60D51D5B"/>
    <w:multiLevelType w:val="multilevel"/>
    <w:tmpl w:val="B1627D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613D27EB"/>
    <w:multiLevelType w:val="multilevel"/>
    <w:tmpl w:val="1D6E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32B22FC"/>
    <w:multiLevelType w:val="multilevel"/>
    <w:tmpl w:val="898405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63394664"/>
    <w:multiLevelType w:val="multilevel"/>
    <w:tmpl w:val="7E4C97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15:restartNumberingAfterBreak="0">
    <w:nsid w:val="63BF70D5"/>
    <w:multiLevelType w:val="multilevel"/>
    <w:tmpl w:val="CD34E4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3" w15:restartNumberingAfterBreak="0">
    <w:nsid w:val="64B8366E"/>
    <w:multiLevelType w:val="multilevel"/>
    <w:tmpl w:val="9A0057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4" w15:restartNumberingAfterBreak="0">
    <w:nsid w:val="65263D36"/>
    <w:multiLevelType w:val="multilevel"/>
    <w:tmpl w:val="F2507C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5" w15:restartNumberingAfterBreak="0">
    <w:nsid w:val="658749C8"/>
    <w:multiLevelType w:val="multilevel"/>
    <w:tmpl w:val="5E2884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66A22C54"/>
    <w:multiLevelType w:val="multilevel"/>
    <w:tmpl w:val="A17A6D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15:restartNumberingAfterBreak="0">
    <w:nsid w:val="66AE7ADD"/>
    <w:multiLevelType w:val="multilevel"/>
    <w:tmpl w:val="AC7CA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66F936A6"/>
    <w:multiLevelType w:val="multilevel"/>
    <w:tmpl w:val="6AC8E6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15:restartNumberingAfterBreak="0">
    <w:nsid w:val="68390FC8"/>
    <w:multiLevelType w:val="multilevel"/>
    <w:tmpl w:val="38E06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687D62F8"/>
    <w:multiLevelType w:val="multilevel"/>
    <w:tmpl w:val="3CAAC9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1" w15:restartNumberingAfterBreak="0">
    <w:nsid w:val="68AD0867"/>
    <w:multiLevelType w:val="multilevel"/>
    <w:tmpl w:val="F0FA55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2" w15:restartNumberingAfterBreak="0">
    <w:nsid w:val="68FD0A95"/>
    <w:multiLevelType w:val="multilevel"/>
    <w:tmpl w:val="2E8874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3" w15:restartNumberingAfterBreak="0">
    <w:nsid w:val="69A82835"/>
    <w:multiLevelType w:val="multilevel"/>
    <w:tmpl w:val="84321C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69EF50D5"/>
    <w:multiLevelType w:val="multilevel"/>
    <w:tmpl w:val="7FEC18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5" w15:restartNumberingAfterBreak="0">
    <w:nsid w:val="6A1F02F1"/>
    <w:multiLevelType w:val="multilevel"/>
    <w:tmpl w:val="03506E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6AE46C90"/>
    <w:multiLevelType w:val="multilevel"/>
    <w:tmpl w:val="61CA11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15:restartNumberingAfterBreak="0">
    <w:nsid w:val="6AF62876"/>
    <w:multiLevelType w:val="multilevel"/>
    <w:tmpl w:val="F970F0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6B8C173E"/>
    <w:multiLevelType w:val="multilevel"/>
    <w:tmpl w:val="9CA273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15:restartNumberingAfterBreak="0">
    <w:nsid w:val="6C972B6B"/>
    <w:multiLevelType w:val="multilevel"/>
    <w:tmpl w:val="DCE00F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6DA65A72"/>
    <w:multiLevelType w:val="multilevel"/>
    <w:tmpl w:val="2376C8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6DE94071"/>
    <w:multiLevelType w:val="multilevel"/>
    <w:tmpl w:val="F250A3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2" w15:restartNumberingAfterBreak="0">
    <w:nsid w:val="6E573C82"/>
    <w:multiLevelType w:val="multilevel"/>
    <w:tmpl w:val="1CDA3F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3" w15:restartNumberingAfterBreak="0">
    <w:nsid w:val="6F001BBD"/>
    <w:multiLevelType w:val="multilevel"/>
    <w:tmpl w:val="8F3EC0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4" w15:restartNumberingAfterBreak="0">
    <w:nsid w:val="6FB54781"/>
    <w:multiLevelType w:val="multilevel"/>
    <w:tmpl w:val="E1F88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6FCB0D0D"/>
    <w:multiLevelType w:val="multilevel"/>
    <w:tmpl w:val="A202B2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70EF52EA"/>
    <w:multiLevelType w:val="multilevel"/>
    <w:tmpl w:val="5EBA7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71AA4A3E"/>
    <w:multiLevelType w:val="multilevel"/>
    <w:tmpl w:val="E0CEC1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8" w15:restartNumberingAfterBreak="0">
    <w:nsid w:val="71F81693"/>
    <w:multiLevelType w:val="multilevel"/>
    <w:tmpl w:val="775A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2172561"/>
    <w:multiLevelType w:val="multilevel"/>
    <w:tmpl w:val="48DEFE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73316D42"/>
    <w:multiLevelType w:val="multilevel"/>
    <w:tmpl w:val="72B4D4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73EF6E9C"/>
    <w:multiLevelType w:val="multilevel"/>
    <w:tmpl w:val="6A8AD1E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2" w15:restartNumberingAfterBreak="0">
    <w:nsid w:val="74705052"/>
    <w:multiLevelType w:val="multilevel"/>
    <w:tmpl w:val="29BC86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15:restartNumberingAfterBreak="0">
    <w:nsid w:val="7614328C"/>
    <w:multiLevelType w:val="multilevel"/>
    <w:tmpl w:val="B32882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4" w15:restartNumberingAfterBreak="0">
    <w:nsid w:val="789B1E27"/>
    <w:multiLevelType w:val="multilevel"/>
    <w:tmpl w:val="077803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79A753F4"/>
    <w:multiLevelType w:val="multilevel"/>
    <w:tmpl w:val="F8F8F7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15:restartNumberingAfterBreak="0">
    <w:nsid w:val="79D81324"/>
    <w:multiLevelType w:val="multilevel"/>
    <w:tmpl w:val="E57A19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7" w15:restartNumberingAfterBreak="0">
    <w:nsid w:val="7A4F7080"/>
    <w:multiLevelType w:val="multilevel"/>
    <w:tmpl w:val="37CCDB6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8" w15:restartNumberingAfterBreak="0">
    <w:nsid w:val="7A5D1C87"/>
    <w:multiLevelType w:val="multilevel"/>
    <w:tmpl w:val="3FDAED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15:restartNumberingAfterBreak="0">
    <w:nsid w:val="7B467A0E"/>
    <w:multiLevelType w:val="multilevel"/>
    <w:tmpl w:val="5EAED6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15:restartNumberingAfterBreak="0">
    <w:nsid w:val="7B734A9F"/>
    <w:multiLevelType w:val="multilevel"/>
    <w:tmpl w:val="DEB2FA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1" w15:restartNumberingAfterBreak="0">
    <w:nsid w:val="7D0A46ED"/>
    <w:multiLevelType w:val="multilevel"/>
    <w:tmpl w:val="58368A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2" w15:restartNumberingAfterBreak="0">
    <w:nsid w:val="7D186770"/>
    <w:multiLevelType w:val="multilevel"/>
    <w:tmpl w:val="E138C5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3" w15:restartNumberingAfterBreak="0">
    <w:nsid w:val="7D5A4013"/>
    <w:multiLevelType w:val="multilevel"/>
    <w:tmpl w:val="BECAEB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4" w15:restartNumberingAfterBreak="0">
    <w:nsid w:val="7EEF6173"/>
    <w:multiLevelType w:val="multilevel"/>
    <w:tmpl w:val="6EF4EB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7"/>
  </w:num>
  <w:num w:numId="2">
    <w:abstractNumId w:val="79"/>
  </w:num>
  <w:num w:numId="3">
    <w:abstractNumId w:val="158"/>
  </w:num>
  <w:num w:numId="4">
    <w:abstractNumId w:val="150"/>
  </w:num>
  <w:num w:numId="5">
    <w:abstractNumId w:val="99"/>
  </w:num>
  <w:num w:numId="6">
    <w:abstractNumId w:val="146"/>
  </w:num>
  <w:num w:numId="7">
    <w:abstractNumId w:val="2"/>
  </w:num>
  <w:num w:numId="8">
    <w:abstractNumId w:val="125"/>
  </w:num>
  <w:num w:numId="9">
    <w:abstractNumId w:val="77"/>
  </w:num>
  <w:num w:numId="10">
    <w:abstractNumId w:val="106"/>
  </w:num>
  <w:num w:numId="11">
    <w:abstractNumId w:val="133"/>
  </w:num>
  <w:num w:numId="12">
    <w:abstractNumId w:val="115"/>
  </w:num>
  <w:num w:numId="13">
    <w:abstractNumId w:val="65"/>
  </w:num>
  <w:num w:numId="14">
    <w:abstractNumId w:val="73"/>
  </w:num>
  <w:num w:numId="15">
    <w:abstractNumId w:val="24"/>
  </w:num>
  <w:num w:numId="16">
    <w:abstractNumId w:val="143"/>
  </w:num>
  <w:num w:numId="17">
    <w:abstractNumId w:val="59"/>
  </w:num>
  <w:num w:numId="18">
    <w:abstractNumId w:val="82"/>
  </w:num>
  <w:num w:numId="19">
    <w:abstractNumId w:val="27"/>
  </w:num>
  <w:num w:numId="20">
    <w:abstractNumId w:val="151"/>
  </w:num>
  <w:num w:numId="21">
    <w:abstractNumId w:val="102"/>
  </w:num>
  <w:num w:numId="22">
    <w:abstractNumId w:val="153"/>
  </w:num>
  <w:num w:numId="23">
    <w:abstractNumId w:val="14"/>
  </w:num>
  <w:num w:numId="24">
    <w:abstractNumId w:val="124"/>
  </w:num>
  <w:num w:numId="25">
    <w:abstractNumId w:val="92"/>
  </w:num>
  <w:num w:numId="26">
    <w:abstractNumId w:val="62"/>
  </w:num>
  <w:num w:numId="27">
    <w:abstractNumId w:val="122"/>
  </w:num>
  <w:num w:numId="28">
    <w:abstractNumId w:val="101"/>
  </w:num>
  <w:num w:numId="29">
    <w:abstractNumId w:val="89"/>
  </w:num>
  <w:num w:numId="30">
    <w:abstractNumId w:val="10"/>
  </w:num>
  <w:num w:numId="31">
    <w:abstractNumId w:val="68"/>
  </w:num>
  <w:num w:numId="32">
    <w:abstractNumId w:val="110"/>
  </w:num>
  <w:num w:numId="33">
    <w:abstractNumId w:val="19"/>
  </w:num>
  <w:num w:numId="34">
    <w:abstractNumId w:val="120"/>
  </w:num>
  <w:num w:numId="35">
    <w:abstractNumId w:val="163"/>
  </w:num>
  <w:num w:numId="36">
    <w:abstractNumId w:val="71"/>
  </w:num>
  <w:num w:numId="37">
    <w:abstractNumId w:val="97"/>
  </w:num>
  <w:num w:numId="38">
    <w:abstractNumId w:val="9"/>
  </w:num>
  <w:num w:numId="39">
    <w:abstractNumId w:val="105"/>
  </w:num>
  <w:num w:numId="40">
    <w:abstractNumId w:val="95"/>
  </w:num>
  <w:num w:numId="41">
    <w:abstractNumId w:val="121"/>
  </w:num>
  <w:num w:numId="42">
    <w:abstractNumId w:val="69"/>
  </w:num>
  <w:num w:numId="43">
    <w:abstractNumId w:val="91"/>
  </w:num>
  <w:num w:numId="44">
    <w:abstractNumId w:val="94"/>
  </w:num>
  <w:num w:numId="45">
    <w:abstractNumId w:val="137"/>
  </w:num>
  <w:num w:numId="46">
    <w:abstractNumId w:val="80"/>
  </w:num>
  <w:num w:numId="47">
    <w:abstractNumId w:val="18"/>
  </w:num>
  <w:num w:numId="48">
    <w:abstractNumId w:val="108"/>
  </w:num>
  <w:num w:numId="49">
    <w:abstractNumId w:val="3"/>
  </w:num>
  <w:num w:numId="50">
    <w:abstractNumId w:val="30"/>
  </w:num>
  <w:num w:numId="51">
    <w:abstractNumId w:val="117"/>
  </w:num>
  <w:num w:numId="52">
    <w:abstractNumId w:val="0"/>
  </w:num>
  <w:num w:numId="53">
    <w:abstractNumId w:val="159"/>
  </w:num>
  <w:num w:numId="54">
    <w:abstractNumId w:val="50"/>
  </w:num>
  <w:num w:numId="55">
    <w:abstractNumId w:val="36"/>
  </w:num>
  <w:num w:numId="56">
    <w:abstractNumId w:val="72"/>
  </w:num>
  <w:num w:numId="57">
    <w:abstractNumId w:val="13"/>
  </w:num>
  <w:num w:numId="58">
    <w:abstractNumId w:val="140"/>
  </w:num>
  <w:num w:numId="59">
    <w:abstractNumId w:val="111"/>
  </w:num>
  <w:num w:numId="60">
    <w:abstractNumId w:val="29"/>
  </w:num>
  <w:num w:numId="61">
    <w:abstractNumId w:val="155"/>
  </w:num>
  <w:num w:numId="62">
    <w:abstractNumId w:val="104"/>
  </w:num>
  <w:num w:numId="63">
    <w:abstractNumId w:val="4"/>
  </w:num>
  <w:num w:numId="64">
    <w:abstractNumId w:val="116"/>
  </w:num>
  <w:num w:numId="65">
    <w:abstractNumId w:val="35"/>
  </w:num>
  <w:num w:numId="66">
    <w:abstractNumId w:val="131"/>
  </w:num>
  <w:num w:numId="67">
    <w:abstractNumId w:val="61"/>
  </w:num>
  <w:num w:numId="68">
    <w:abstractNumId w:val="88"/>
  </w:num>
  <w:num w:numId="69">
    <w:abstractNumId w:val="63"/>
  </w:num>
  <w:num w:numId="70">
    <w:abstractNumId w:val="154"/>
  </w:num>
  <w:num w:numId="71">
    <w:abstractNumId w:val="44"/>
  </w:num>
  <w:num w:numId="72">
    <w:abstractNumId w:val="28"/>
  </w:num>
  <w:num w:numId="73">
    <w:abstractNumId w:val="134"/>
  </w:num>
  <w:num w:numId="74">
    <w:abstractNumId w:val="160"/>
  </w:num>
  <w:num w:numId="75">
    <w:abstractNumId w:val="142"/>
  </w:num>
  <w:num w:numId="76">
    <w:abstractNumId w:val="103"/>
  </w:num>
  <w:num w:numId="77">
    <w:abstractNumId w:val="126"/>
  </w:num>
  <w:num w:numId="78">
    <w:abstractNumId w:val="118"/>
  </w:num>
  <w:num w:numId="79">
    <w:abstractNumId w:val="53"/>
  </w:num>
  <w:num w:numId="80">
    <w:abstractNumId w:val="21"/>
  </w:num>
  <w:num w:numId="81">
    <w:abstractNumId w:val="98"/>
  </w:num>
  <w:num w:numId="82">
    <w:abstractNumId w:val="39"/>
  </w:num>
  <w:num w:numId="83">
    <w:abstractNumId w:val="157"/>
  </w:num>
  <w:num w:numId="84">
    <w:abstractNumId w:val="107"/>
  </w:num>
  <w:num w:numId="85">
    <w:abstractNumId w:val="139"/>
  </w:num>
  <w:num w:numId="86">
    <w:abstractNumId w:val="32"/>
  </w:num>
  <w:num w:numId="87">
    <w:abstractNumId w:val="37"/>
  </w:num>
  <w:num w:numId="88">
    <w:abstractNumId w:val="129"/>
  </w:num>
  <w:num w:numId="89">
    <w:abstractNumId w:val="152"/>
  </w:num>
  <w:num w:numId="90">
    <w:abstractNumId w:val="5"/>
  </w:num>
  <w:num w:numId="91">
    <w:abstractNumId w:val="132"/>
  </w:num>
  <w:num w:numId="92">
    <w:abstractNumId w:val="1"/>
  </w:num>
  <w:num w:numId="93">
    <w:abstractNumId w:val="109"/>
  </w:num>
  <w:num w:numId="94">
    <w:abstractNumId w:val="66"/>
  </w:num>
  <w:num w:numId="95">
    <w:abstractNumId w:val="119"/>
  </w:num>
  <w:num w:numId="96">
    <w:abstractNumId w:val="48"/>
  </w:num>
  <w:num w:numId="97">
    <w:abstractNumId w:val="41"/>
  </w:num>
  <w:num w:numId="98">
    <w:abstractNumId w:val="34"/>
  </w:num>
  <w:num w:numId="99">
    <w:abstractNumId w:val="7"/>
  </w:num>
  <w:num w:numId="100">
    <w:abstractNumId w:val="81"/>
  </w:num>
  <w:num w:numId="101">
    <w:abstractNumId w:val="67"/>
  </w:num>
  <w:num w:numId="102">
    <w:abstractNumId w:val="86"/>
  </w:num>
  <w:num w:numId="103">
    <w:abstractNumId w:val="55"/>
  </w:num>
  <w:num w:numId="104">
    <w:abstractNumId w:val="93"/>
  </w:num>
  <w:num w:numId="105">
    <w:abstractNumId w:val="49"/>
  </w:num>
  <w:num w:numId="106">
    <w:abstractNumId w:val="52"/>
  </w:num>
  <w:num w:numId="107">
    <w:abstractNumId w:val="114"/>
  </w:num>
  <w:num w:numId="108">
    <w:abstractNumId w:val="20"/>
  </w:num>
  <w:num w:numId="109">
    <w:abstractNumId w:val="162"/>
  </w:num>
  <w:num w:numId="110">
    <w:abstractNumId w:val="43"/>
  </w:num>
  <w:num w:numId="111">
    <w:abstractNumId w:val="113"/>
  </w:num>
  <w:num w:numId="112">
    <w:abstractNumId w:val="84"/>
  </w:num>
  <w:num w:numId="113">
    <w:abstractNumId w:val="23"/>
  </w:num>
  <w:num w:numId="114">
    <w:abstractNumId w:val="78"/>
  </w:num>
  <w:num w:numId="115">
    <w:abstractNumId w:val="33"/>
  </w:num>
  <w:num w:numId="116">
    <w:abstractNumId w:val="60"/>
  </w:num>
  <w:num w:numId="117">
    <w:abstractNumId w:val="130"/>
  </w:num>
  <w:num w:numId="118">
    <w:abstractNumId w:val="85"/>
  </w:num>
  <w:num w:numId="119">
    <w:abstractNumId w:val="145"/>
  </w:num>
  <w:num w:numId="120">
    <w:abstractNumId w:val="76"/>
  </w:num>
  <w:num w:numId="121">
    <w:abstractNumId w:val="25"/>
  </w:num>
  <w:num w:numId="122">
    <w:abstractNumId w:val="74"/>
  </w:num>
  <w:num w:numId="123">
    <w:abstractNumId w:val="51"/>
  </w:num>
  <w:num w:numId="124">
    <w:abstractNumId w:val="45"/>
  </w:num>
  <w:num w:numId="125">
    <w:abstractNumId w:val="144"/>
  </w:num>
  <w:num w:numId="126">
    <w:abstractNumId w:val="141"/>
  </w:num>
  <w:num w:numId="127">
    <w:abstractNumId w:val="17"/>
  </w:num>
  <w:num w:numId="128">
    <w:abstractNumId w:val="149"/>
  </w:num>
  <w:num w:numId="129">
    <w:abstractNumId w:val="96"/>
  </w:num>
  <w:num w:numId="130">
    <w:abstractNumId w:val="75"/>
  </w:num>
  <w:num w:numId="131">
    <w:abstractNumId w:val="22"/>
  </w:num>
  <w:num w:numId="132">
    <w:abstractNumId w:val="12"/>
  </w:num>
  <w:num w:numId="133">
    <w:abstractNumId w:val="136"/>
  </w:num>
  <w:num w:numId="134">
    <w:abstractNumId w:val="8"/>
  </w:num>
  <w:num w:numId="135">
    <w:abstractNumId w:val="164"/>
  </w:num>
  <w:num w:numId="136">
    <w:abstractNumId w:val="31"/>
  </w:num>
  <w:num w:numId="137">
    <w:abstractNumId w:val="42"/>
  </w:num>
  <w:num w:numId="138">
    <w:abstractNumId w:val="123"/>
  </w:num>
  <w:num w:numId="139">
    <w:abstractNumId w:val="6"/>
  </w:num>
  <w:num w:numId="140">
    <w:abstractNumId w:val="87"/>
  </w:num>
  <w:num w:numId="141">
    <w:abstractNumId w:val="56"/>
  </w:num>
  <w:num w:numId="142">
    <w:abstractNumId w:val="100"/>
  </w:num>
  <w:num w:numId="143">
    <w:abstractNumId w:val="47"/>
  </w:num>
  <w:num w:numId="144">
    <w:abstractNumId w:val="58"/>
  </w:num>
  <w:num w:numId="145">
    <w:abstractNumId w:val="161"/>
  </w:num>
  <w:num w:numId="146">
    <w:abstractNumId w:val="156"/>
  </w:num>
  <w:num w:numId="147">
    <w:abstractNumId w:val="112"/>
  </w:num>
  <w:num w:numId="148">
    <w:abstractNumId w:val="38"/>
  </w:num>
  <w:num w:numId="149">
    <w:abstractNumId w:val="128"/>
  </w:num>
  <w:num w:numId="150">
    <w:abstractNumId w:val="11"/>
  </w:num>
  <w:num w:numId="151">
    <w:abstractNumId w:val="90"/>
  </w:num>
  <w:num w:numId="152">
    <w:abstractNumId w:val="54"/>
  </w:num>
  <w:num w:numId="153">
    <w:abstractNumId w:val="46"/>
  </w:num>
  <w:num w:numId="154">
    <w:abstractNumId w:val="64"/>
  </w:num>
  <w:num w:numId="155">
    <w:abstractNumId w:val="127"/>
  </w:num>
  <w:num w:numId="156">
    <w:abstractNumId w:val="40"/>
  </w:num>
  <w:num w:numId="157">
    <w:abstractNumId w:val="138"/>
  </w:num>
  <w:num w:numId="158">
    <w:abstractNumId w:val="26"/>
  </w:num>
  <w:num w:numId="159">
    <w:abstractNumId w:val="147"/>
  </w:num>
  <w:num w:numId="160">
    <w:abstractNumId w:val="135"/>
  </w:num>
  <w:num w:numId="161">
    <w:abstractNumId w:val="148"/>
  </w:num>
  <w:num w:numId="162">
    <w:abstractNumId w:val="16"/>
  </w:num>
  <w:num w:numId="163">
    <w:abstractNumId w:val="70"/>
  </w:num>
  <w:num w:numId="164">
    <w:abstractNumId w:val="83"/>
  </w:num>
  <w:num w:numId="165">
    <w:abstractNumId w:val="15"/>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02"/>
    <w:rsid w:val="000575E0"/>
    <w:rsid w:val="00091F3D"/>
    <w:rsid w:val="00092B6C"/>
    <w:rsid w:val="000D13CB"/>
    <w:rsid w:val="000E2E54"/>
    <w:rsid w:val="00131C73"/>
    <w:rsid w:val="001942B3"/>
    <w:rsid w:val="001E1B5B"/>
    <w:rsid w:val="002378C0"/>
    <w:rsid w:val="00274FAB"/>
    <w:rsid w:val="002E3BA0"/>
    <w:rsid w:val="00311876"/>
    <w:rsid w:val="004107B0"/>
    <w:rsid w:val="00421545"/>
    <w:rsid w:val="00430013"/>
    <w:rsid w:val="00443878"/>
    <w:rsid w:val="00454EA3"/>
    <w:rsid w:val="00470480"/>
    <w:rsid w:val="004C0D2D"/>
    <w:rsid w:val="00531DEE"/>
    <w:rsid w:val="00536CF8"/>
    <w:rsid w:val="005678E7"/>
    <w:rsid w:val="0057089E"/>
    <w:rsid w:val="00594523"/>
    <w:rsid w:val="00595AE9"/>
    <w:rsid w:val="005B17C1"/>
    <w:rsid w:val="005B3A67"/>
    <w:rsid w:val="005F6218"/>
    <w:rsid w:val="00652C47"/>
    <w:rsid w:val="006817D7"/>
    <w:rsid w:val="00704265"/>
    <w:rsid w:val="007337B5"/>
    <w:rsid w:val="0073686B"/>
    <w:rsid w:val="00751B52"/>
    <w:rsid w:val="00783FC1"/>
    <w:rsid w:val="007D6A09"/>
    <w:rsid w:val="007F311D"/>
    <w:rsid w:val="00823298"/>
    <w:rsid w:val="00827FA7"/>
    <w:rsid w:val="008464C9"/>
    <w:rsid w:val="00866E4E"/>
    <w:rsid w:val="008A1BA1"/>
    <w:rsid w:val="008C7A02"/>
    <w:rsid w:val="00957BFA"/>
    <w:rsid w:val="0099661C"/>
    <w:rsid w:val="009B4291"/>
    <w:rsid w:val="009E2127"/>
    <w:rsid w:val="00A50C6D"/>
    <w:rsid w:val="00AC68C8"/>
    <w:rsid w:val="00B73361"/>
    <w:rsid w:val="00BA4199"/>
    <w:rsid w:val="00BA5B87"/>
    <w:rsid w:val="00BA70DE"/>
    <w:rsid w:val="00BD2F5E"/>
    <w:rsid w:val="00BE4BD6"/>
    <w:rsid w:val="00C16E00"/>
    <w:rsid w:val="00CA5815"/>
    <w:rsid w:val="00DA36B4"/>
    <w:rsid w:val="00DC2321"/>
    <w:rsid w:val="00DD06BC"/>
    <w:rsid w:val="00E653FA"/>
    <w:rsid w:val="00F137D4"/>
    <w:rsid w:val="00FA51FA"/>
    <w:rsid w:val="00FD17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F011E-DCE8-4248-8C4C-2C9A910B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7A0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8C7A0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8C7A02"/>
    <w:rPr>
      <w:color w:val="0000FF"/>
      <w:u w:val="single"/>
    </w:rPr>
  </w:style>
  <w:style w:type="character" w:styleId="Strong">
    <w:name w:val="Strong"/>
    <w:basedOn w:val="DefaultParagraphFont"/>
    <w:uiPriority w:val="22"/>
    <w:qFormat/>
    <w:rsid w:val="008C7A02"/>
    <w:rPr>
      <w:b/>
      <w:bCs/>
    </w:rPr>
  </w:style>
  <w:style w:type="character" w:customStyle="1" w:styleId="head1">
    <w:name w:val="head1"/>
    <w:basedOn w:val="DefaultParagraphFont"/>
    <w:rsid w:val="00BE4BD6"/>
  </w:style>
  <w:style w:type="paragraph" w:customStyle="1" w:styleId="msonormal0">
    <w:name w:val="msonormal"/>
    <w:basedOn w:val="Normal"/>
    <w:rsid w:val="0043001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430013"/>
    <w:rPr>
      <w:color w:val="800080"/>
      <w:u w:val="single"/>
    </w:rPr>
  </w:style>
  <w:style w:type="character" w:styleId="Emphasis">
    <w:name w:val="Emphasis"/>
    <w:basedOn w:val="DefaultParagraphFont"/>
    <w:uiPriority w:val="20"/>
    <w:qFormat/>
    <w:rsid w:val="00C16E00"/>
    <w:rPr>
      <w:i/>
      <w:iCs/>
    </w:rPr>
  </w:style>
  <w:style w:type="table" w:styleId="TableGrid">
    <w:name w:val="Table Grid"/>
    <w:basedOn w:val="TableNormal"/>
    <w:uiPriority w:val="39"/>
    <w:rsid w:val="0073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075">
      <w:bodyDiv w:val="1"/>
      <w:marLeft w:val="0"/>
      <w:marRight w:val="0"/>
      <w:marTop w:val="0"/>
      <w:marBottom w:val="0"/>
      <w:divBdr>
        <w:top w:val="none" w:sz="0" w:space="0" w:color="auto"/>
        <w:left w:val="none" w:sz="0" w:space="0" w:color="auto"/>
        <w:bottom w:val="none" w:sz="0" w:space="0" w:color="auto"/>
        <w:right w:val="none" w:sz="0" w:space="0" w:color="auto"/>
      </w:divBdr>
    </w:div>
    <w:div w:id="8609002">
      <w:bodyDiv w:val="1"/>
      <w:marLeft w:val="0"/>
      <w:marRight w:val="0"/>
      <w:marTop w:val="0"/>
      <w:marBottom w:val="0"/>
      <w:divBdr>
        <w:top w:val="none" w:sz="0" w:space="0" w:color="auto"/>
        <w:left w:val="none" w:sz="0" w:space="0" w:color="auto"/>
        <w:bottom w:val="none" w:sz="0" w:space="0" w:color="auto"/>
        <w:right w:val="none" w:sz="0" w:space="0" w:color="auto"/>
      </w:divBdr>
    </w:div>
    <w:div w:id="16539461">
      <w:bodyDiv w:val="1"/>
      <w:marLeft w:val="0"/>
      <w:marRight w:val="0"/>
      <w:marTop w:val="0"/>
      <w:marBottom w:val="0"/>
      <w:divBdr>
        <w:top w:val="none" w:sz="0" w:space="0" w:color="auto"/>
        <w:left w:val="none" w:sz="0" w:space="0" w:color="auto"/>
        <w:bottom w:val="none" w:sz="0" w:space="0" w:color="auto"/>
        <w:right w:val="none" w:sz="0" w:space="0" w:color="auto"/>
      </w:divBdr>
    </w:div>
    <w:div w:id="21321484">
      <w:bodyDiv w:val="1"/>
      <w:marLeft w:val="0"/>
      <w:marRight w:val="0"/>
      <w:marTop w:val="0"/>
      <w:marBottom w:val="0"/>
      <w:divBdr>
        <w:top w:val="none" w:sz="0" w:space="0" w:color="auto"/>
        <w:left w:val="none" w:sz="0" w:space="0" w:color="auto"/>
        <w:bottom w:val="none" w:sz="0" w:space="0" w:color="auto"/>
        <w:right w:val="none" w:sz="0" w:space="0" w:color="auto"/>
      </w:divBdr>
    </w:div>
    <w:div w:id="28579107">
      <w:bodyDiv w:val="1"/>
      <w:marLeft w:val="0"/>
      <w:marRight w:val="0"/>
      <w:marTop w:val="0"/>
      <w:marBottom w:val="0"/>
      <w:divBdr>
        <w:top w:val="none" w:sz="0" w:space="0" w:color="auto"/>
        <w:left w:val="none" w:sz="0" w:space="0" w:color="auto"/>
        <w:bottom w:val="none" w:sz="0" w:space="0" w:color="auto"/>
        <w:right w:val="none" w:sz="0" w:space="0" w:color="auto"/>
      </w:divBdr>
    </w:div>
    <w:div w:id="33889819">
      <w:bodyDiv w:val="1"/>
      <w:marLeft w:val="0"/>
      <w:marRight w:val="0"/>
      <w:marTop w:val="0"/>
      <w:marBottom w:val="0"/>
      <w:divBdr>
        <w:top w:val="none" w:sz="0" w:space="0" w:color="auto"/>
        <w:left w:val="none" w:sz="0" w:space="0" w:color="auto"/>
        <w:bottom w:val="none" w:sz="0" w:space="0" w:color="auto"/>
        <w:right w:val="none" w:sz="0" w:space="0" w:color="auto"/>
      </w:divBdr>
    </w:div>
    <w:div w:id="36974684">
      <w:bodyDiv w:val="1"/>
      <w:marLeft w:val="0"/>
      <w:marRight w:val="0"/>
      <w:marTop w:val="0"/>
      <w:marBottom w:val="0"/>
      <w:divBdr>
        <w:top w:val="none" w:sz="0" w:space="0" w:color="auto"/>
        <w:left w:val="none" w:sz="0" w:space="0" w:color="auto"/>
        <w:bottom w:val="none" w:sz="0" w:space="0" w:color="auto"/>
        <w:right w:val="none" w:sz="0" w:space="0" w:color="auto"/>
      </w:divBdr>
    </w:div>
    <w:div w:id="61292278">
      <w:bodyDiv w:val="1"/>
      <w:marLeft w:val="0"/>
      <w:marRight w:val="0"/>
      <w:marTop w:val="0"/>
      <w:marBottom w:val="0"/>
      <w:divBdr>
        <w:top w:val="none" w:sz="0" w:space="0" w:color="auto"/>
        <w:left w:val="none" w:sz="0" w:space="0" w:color="auto"/>
        <w:bottom w:val="none" w:sz="0" w:space="0" w:color="auto"/>
        <w:right w:val="none" w:sz="0" w:space="0" w:color="auto"/>
      </w:divBdr>
    </w:div>
    <w:div w:id="92291526">
      <w:bodyDiv w:val="1"/>
      <w:marLeft w:val="0"/>
      <w:marRight w:val="0"/>
      <w:marTop w:val="0"/>
      <w:marBottom w:val="0"/>
      <w:divBdr>
        <w:top w:val="none" w:sz="0" w:space="0" w:color="auto"/>
        <w:left w:val="none" w:sz="0" w:space="0" w:color="auto"/>
        <w:bottom w:val="none" w:sz="0" w:space="0" w:color="auto"/>
        <w:right w:val="none" w:sz="0" w:space="0" w:color="auto"/>
      </w:divBdr>
    </w:div>
    <w:div w:id="94643453">
      <w:bodyDiv w:val="1"/>
      <w:marLeft w:val="0"/>
      <w:marRight w:val="0"/>
      <w:marTop w:val="0"/>
      <w:marBottom w:val="0"/>
      <w:divBdr>
        <w:top w:val="none" w:sz="0" w:space="0" w:color="auto"/>
        <w:left w:val="none" w:sz="0" w:space="0" w:color="auto"/>
        <w:bottom w:val="none" w:sz="0" w:space="0" w:color="auto"/>
        <w:right w:val="none" w:sz="0" w:space="0" w:color="auto"/>
      </w:divBdr>
    </w:div>
    <w:div w:id="108089582">
      <w:bodyDiv w:val="1"/>
      <w:marLeft w:val="0"/>
      <w:marRight w:val="0"/>
      <w:marTop w:val="0"/>
      <w:marBottom w:val="0"/>
      <w:divBdr>
        <w:top w:val="none" w:sz="0" w:space="0" w:color="auto"/>
        <w:left w:val="none" w:sz="0" w:space="0" w:color="auto"/>
        <w:bottom w:val="none" w:sz="0" w:space="0" w:color="auto"/>
        <w:right w:val="none" w:sz="0" w:space="0" w:color="auto"/>
      </w:divBdr>
    </w:div>
    <w:div w:id="137000519">
      <w:bodyDiv w:val="1"/>
      <w:marLeft w:val="0"/>
      <w:marRight w:val="0"/>
      <w:marTop w:val="0"/>
      <w:marBottom w:val="0"/>
      <w:divBdr>
        <w:top w:val="none" w:sz="0" w:space="0" w:color="auto"/>
        <w:left w:val="none" w:sz="0" w:space="0" w:color="auto"/>
        <w:bottom w:val="none" w:sz="0" w:space="0" w:color="auto"/>
        <w:right w:val="none" w:sz="0" w:space="0" w:color="auto"/>
      </w:divBdr>
    </w:div>
    <w:div w:id="166487762">
      <w:bodyDiv w:val="1"/>
      <w:marLeft w:val="0"/>
      <w:marRight w:val="0"/>
      <w:marTop w:val="0"/>
      <w:marBottom w:val="0"/>
      <w:divBdr>
        <w:top w:val="none" w:sz="0" w:space="0" w:color="auto"/>
        <w:left w:val="none" w:sz="0" w:space="0" w:color="auto"/>
        <w:bottom w:val="none" w:sz="0" w:space="0" w:color="auto"/>
        <w:right w:val="none" w:sz="0" w:space="0" w:color="auto"/>
      </w:divBdr>
      <w:divsChild>
        <w:div w:id="1523349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213591510">
      <w:bodyDiv w:val="1"/>
      <w:marLeft w:val="0"/>
      <w:marRight w:val="0"/>
      <w:marTop w:val="0"/>
      <w:marBottom w:val="0"/>
      <w:divBdr>
        <w:top w:val="none" w:sz="0" w:space="0" w:color="auto"/>
        <w:left w:val="none" w:sz="0" w:space="0" w:color="auto"/>
        <w:bottom w:val="none" w:sz="0" w:space="0" w:color="auto"/>
        <w:right w:val="none" w:sz="0" w:space="0" w:color="auto"/>
      </w:divBdr>
    </w:div>
    <w:div w:id="216668471">
      <w:bodyDiv w:val="1"/>
      <w:marLeft w:val="0"/>
      <w:marRight w:val="0"/>
      <w:marTop w:val="0"/>
      <w:marBottom w:val="0"/>
      <w:divBdr>
        <w:top w:val="none" w:sz="0" w:space="0" w:color="auto"/>
        <w:left w:val="none" w:sz="0" w:space="0" w:color="auto"/>
        <w:bottom w:val="none" w:sz="0" w:space="0" w:color="auto"/>
        <w:right w:val="none" w:sz="0" w:space="0" w:color="auto"/>
      </w:divBdr>
    </w:div>
    <w:div w:id="217790509">
      <w:bodyDiv w:val="1"/>
      <w:marLeft w:val="0"/>
      <w:marRight w:val="0"/>
      <w:marTop w:val="0"/>
      <w:marBottom w:val="0"/>
      <w:divBdr>
        <w:top w:val="none" w:sz="0" w:space="0" w:color="auto"/>
        <w:left w:val="none" w:sz="0" w:space="0" w:color="auto"/>
        <w:bottom w:val="none" w:sz="0" w:space="0" w:color="auto"/>
        <w:right w:val="none" w:sz="0" w:space="0" w:color="auto"/>
      </w:divBdr>
    </w:div>
    <w:div w:id="222764671">
      <w:bodyDiv w:val="1"/>
      <w:marLeft w:val="0"/>
      <w:marRight w:val="0"/>
      <w:marTop w:val="0"/>
      <w:marBottom w:val="0"/>
      <w:divBdr>
        <w:top w:val="none" w:sz="0" w:space="0" w:color="auto"/>
        <w:left w:val="none" w:sz="0" w:space="0" w:color="auto"/>
        <w:bottom w:val="none" w:sz="0" w:space="0" w:color="auto"/>
        <w:right w:val="none" w:sz="0" w:space="0" w:color="auto"/>
      </w:divBdr>
    </w:div>
    <w:div w:id="227493853">
      <w:bodyDiv w:val="1"/>
      <w:marLeft w:val="0"/>
      <w:marRight w:val="0"/>
      <w:marTop w:val="0"/>
      <w:marBottom w:val="0"/>
      <w:divBdr>
        <w:top w:val="none" w:sz="0" w:space="0" w:color="auto"/>
        <w:left w:val="none" w:sz="0" w:space="0" w:color="auto"/>
        <w:bottom w:val="none" w:sz="0" w:space="0" w:color="auto"/>
        <w:right w:val="none" w:sz="0" w:space="0" w:color="auto"/>
      </w:divBdr>
    </w:div>
    <w:div w:id="230819233">
      <w:bodyDiv w:val="1"/>
      <w:marLeft w:val="0"/>
      <w:marRight w:val="0"/>
      <w:marTop w:val="0"/>
      <w:marBottom w:val="0"/>
      <w:divBdr>
        <w:top w:val="none" w:sz="0" w:space="0" w:color="auto"/>
        <w:left w:val="none" w:sz="0" w:space="0" w:color="auto"/>
        <w:bottom w:val="none" w:sz="0" w:space="0" w:color="auto"/>
        <w:right w:val="none" w:sz="0" w:space="0" w:color="auto"/>
      </w:divBdr>
    </w:div>
    <w:div w:id="231158842">
      <w:bodyDiv w:val="1"/>
      <w:marLeft w:val="0"/>
      <w:marRight w:val="0"/>
      <w:marTop w:val="0"/>
      <w:marBottom w:val="0"/>
      <w:divBdr>
        <w:top w:val="none" w:sz="0" w:space="0" w:color="auto"/>
        <w:left w:val="none" w:sz="0" w:space="0" w:color="auto"/>
        <w:bottom w:val="none" w:sz="0" w:space="0" w:color="auto"/>
        <w:right w:val="none" w:sz="0" w:space="0" w:color="auto"/>
      </w:divBdr>
    </w:div>
    <w:div w:id="233929865">
      <w:bodyDiv w:val="1"/>
      <w:marLeft w:val="0"/>
      <w:marRight w:val="0"/>
      <w:marTop w:val="0"/>
      <w:marBottom w:val="0"/>
      <w:divBdr>
        <w:top w:val="none" w:sz="0" w:space="0" w:color="auto"/>
        <w:left w:val="none" w:sz="0" w:space="0" w:color="auto"/>
        <w:bottom w:val="none" w:sz="0" w:space="0" w:color="auto"/>
        <w:right w:val="none" w:sz="0" w:space="0" w:color="auto"/>
      </w:divBdr>
    </w:div>
    <w:div w:id="235286390">
      <w:bodyDiv w:val="1"/>
      <w:marLeft w:val="0"/>
      <w:marRight w:val="0"/>
      <w:marTop w:val="0"/>
      <w:marBottom w:val="0"/>
      <w:divBdr>
        <w:top w:val="none" w:sz="0" w:space="0" w:color="auto"/>
        <w:left w:val="none" w:sz="0" w:space="0" w:color="auto"/>
        <w:bottom w:val="none" w:sz="0" w:space="0" w:color="auto"/>
        <w:right w:val="none" w:sz="0" w:space="0" w:color="auto"/>
      </w:divBdr>
    </w:div>
    <w:div w:id="258567117">
      <w:bodyDiv w:val="1"/>
      <w:marLeft w:val="0"/>
      <w:marRight w:val="0"/>
      <w:marTop w:val="0"/>
      <w:marBottom w:val="0"/>
      <w:divBdr>
        <w:top w:val="none" w:sz="0" w:space="0" w:color="auto"/>
        <w:left w:val="none" w:sz="0" w:space="0" w:color="auto"/>
        <w:bottom w:val="none" w:sz="0" w:space="0" w:color="auto"/>
        <w:right w:val="none" w:sz="0" w:space="0" w:color="auto"/>
      </w:divBdr>
    </w:div>
    <w:div w:id="271858561">
      <w:bodyDiv w:val="1"/>
      <w:marLeft w:val="0"/>
      <w:marRight w:val="0"/>
      <w:marTop w:val="0"/>
      <w:marBottom w:val="0"/>
      <w:divBdr>
        <w:top w:val="none" w:sz="0" w:space="0" w:color="auto"/>
        <w:left w:val="none" w:sz="0" w:space="0" w:color="auto"/>
        <w:bottom w:val="none" w:sz="0" w:space="0" w:color="auto"/>
        <w:right w:val="none" w:sz="0" w:space="0" w:color="auto"/>
      </w:divBdr>
    </w:div>
    <w:div w:id="274557839">
      <w:bodyDiv w:val="1"/>
      <w:marLeft w:val="0"/>
      <w:marRight w:val="0"/>
      <w:marTop w:val="0"/>
      <w:marBottom w:val="0"/>
      <w:divBdr>
        <w:top w:val="none" w:sz="0" w:space="0" w:color="auto"/>
        <w:left w:val="none" w:sz="0" w:space="0" w:color="auto"/>
        <w:bottom w:val="none" w:sz="0" w:space="0" w:color="auto"/>
        <w:right w:val="none" w:sz="0" w:space="0" w:color="auto"/>
      </w:divBdr>
    </w:div>
    <w:div w:id="311907784">
      <w:bodyDiv w:val="1"/>
      <w:marLeft w:val="0"/>
      <w:marRight w:val="0"/>
      <w:marTop w:val="0"/>
      <w:marBottom w:val="0"/>
      <w:divBdr>
        <w:top w:val="none" w:sz="0" w:space="0" w:color="auto"/>
        <w:left w:val="none" w:sz="0" w:space="0" w:color="auto"/>
        <w:bottom w:val="none" w:sz="0" w:space="0" w:color="auto"/>
        <w:right w:val="none" w:sz="0" w:space="0" w:color="auto"/>
      </w:divBdr>
    </w:div>
    <w:div w:id="313098231">
      <w:bodyDiv w:val="1"/>
      <w:marLeft w:val="0"/>
      <w:marRight w:val="0"/>
      <w:marTop w:val="0"/>
      <w:marBottom w:val="0"/>
      <w:divBdr>
        <w:top w:val="none" w:sz="0" w:space="0" w:color="auto"/>
        <w:left w:val="none" w:sz="0" w:space="0" w:color="auto"/>
        <w:bottom w:val="none" w:sz="0" w:space="0" w:color="auto"/>
        <w:right w:val="none" w:sz="0" w:space="0" w:color="auto"/>
      </w:divBdr>
    </w:div>
    <w:div w:id="322590242">
      <w:bodyDiv w:val="1"/>
      <w:marLeft w:val="0"/>
      <w:marRight w:val="0"/>
      <w:marTop w:val="0"/>
      <w:marBottom w:val="0"/>
      <w:divBdr>
        <w:top w:val="none" w:sz="0" w:space="0" w:color="auto"/>
        <w:left w:val="none" w:sz="0" w:space="0" w:color="auto"/>
        <w:bottom w:val="none" w:sz="0" w:space="0" w:color="auto"/>
        <w:right w:val="none" w:sz="0" w:space="0" w:color="auto"/>
      </w:divBdr>
    </w:div>
    <w:div w:id="386999612">
      <w:bodyDiv w:val="1"/>
      <w:marLeft w:val="0"/>
      <w:marRight w:val="0"/>
      <w:marTop w:val="0"/>
      <w:marBottom w:val="0"/>
      <w:divBdr>
        <w:top w:val="none" w:sz="0" w:space="0" w:color="auto"/>
        <w:left w:val="none" w:sz="0" w:space="0" w:color="auto"/>
        <w:bottom w:val="none" w:sz="0" w:space="0" w:color="auto"/>
        <w:right w:val="none" w:sz="0" w:space="0" w:color="auto"/>
      </w:divBdr>
    </w:div>
    <w:div w:id="396586796">
      <w:bodyDiv w:val="1"/>
      <w:marLeft w:val="0"/>
      <w:marRight w:val="0"/>
      <w:marTop w:val="0"/>
      <w:marBottom w:val="0"/>
      <w:divBdr>
        <w:top w:val="none" w:sz="0" w:space="0" w:color="auto"/>
        <w:left w:val="none" w:sz="0" w:space="0" w:color="auto"/>
        <w:bottom w:val="none" w:sz="0" w:space="0" w:color="auto"/>
        <w:right w:val="none" w:sz="0" w:space="0" w:color="auto"/>
      </w:divBdr>
    </w:div>
    <w:div w:id="414131266">
      <w:bodyDiv w:val="1"/>
      <w:marLeft w:val="0"/>
      <w:marRight w:val="0"/>
      <w:marTop w:val="0"/>
      <w:marBottom w:val="0"/>
      <w:divBdr>
        <w:top w:val="none" w:sz="0" w:space="0" w:color="auto"/>
        <w:left w:val="none" w:sz="0" w:space="0" w:color="auto"/>
        <w:bottom w:val="none" w:sz="0" w:space="0" w:color="auto"/>
        <w:right w:val="none" w:sz="0" w:space="0" w:color="auto"/>
      </w:divBdr>
    </w:div>
    <w:div w:id="420952876">
      <w:bodyDiv w:val="1"/>
      <w:marLeft w:val="0"/>
      <w:marRight w:val="0"/>
      <w:marTop w:val="0"/>
      <w:marBottom w:val="0"/>
      <w:divBdr>
        <w:top w:val="none" w:sz="0" w:space="0" w:color="auto"/>
        <w:left w:val="none" w:sz="0" w:space="0" w:color="auto"/>
        <w:bottom w:val="none" w:sz="0" w:space="0" w:color="auto"/>
        <w:right w:val="none" w:sz="0" w:space="0" w:color="auto"/>
      </w:divBdr>
    </w:div>
    <w:div w:id="427239035">
      <w:bodyDiv w:val="1"/>
      <w:marLeft w:val="0"/>
      <w:marRight w:val="0"/>
      <w:marTop w:val="0"/>
      <w:marBottom w:val="0"/>
      <w:divBdr>
        <w:top w:val="none" w:sz="0" w:space="0" w:color="auto"/>
        <w:left w:val="none" w:sz="0" w:space="0" w:color="auto"/>
        <w:bottom w:val="none" w:sz="0" w:space="0" w:color="auto"/>
        <w:right w:val="none" w:sz="0" w:space="0" w:color="auto"/>
      </w:divBdr>
    </w:div>
    <w:div w:id="445537964">
      <w:bodyDiv w:val="1"/>
      <w:marLeft w:val="0"/>
      <w:marRight w:val="0"/>
      <w:marTop w:val="0"/>
      <w:marBottom w:val="0"/>
      <w:divBdr>
        <w:top w:val="none" w:sz="0" w:space="0" w:color="auto"/>
        <w:left w:val="none" w:sz="0" w:space="0" w:color="auto"/>
        <w:bottom w:val="none" w:sz="0" w:space="0" w:color="auto"/>
        <w:right w:val="none" w:sz="0" w:space="0" w:color="auto"/>
      </w:divBdr>
    </w:div>
    <w:div w:id="452672347">
      <w:bodyDiv w:val="1"/>
      <w:marLeft w:val="0"/>
      <w:marRight w:val="0"/>
      <w:marTop w:val="0"/>
      <w:marBottom w:val="0"/>
      <w:divBdr>
        <w:top w:val="none" w:sz="0" w:space="0" w:color="auto"/>
        <w:left w:val="none" w:sz="0" w:space="0" w:color="auto"/>
        <w:bottom w:val="none" w:sz="0" w:space="0" w:color="auto"/>
        <w:right w:val="none" w:sz="0" w:space="0" w:color="auto"/>
      </w:divBdr>
    </w:div>
    <w:div w:id="462965334">
      <w:bodyDiv w:val="1"/>
      <w:marLeft w:val="0"/>
      <w:marRight w:val="0"/>
      <w:marTop w:val="0"/>
      <w:marBottom w:val="0"/>
      <w:divBdr>
        <w:top w:val="none" w:sz="0" w:space="0" w:color="auto"/>
        <w:left w:val="none" w:sz="0" w:space="0" w:color="auto"/>
        <w:bottom w:val="none" w:sz="0" w:space="0" w:color="auto"/>
        <w:right w:val="none" w:sz="0" w:space="0" w:color="auto"/>
      </w:divBdr>
    </w:div>
    <w:div w:id="463816516">
      <w:bodyDiv w:val="1"/>
      <w:marLeft w:val="0"/>
      <w:marRight w:val="0"/>
      <w:marTop w:val="0"/>
      <w:marBottom w:val="0"/>
      <w:divBdr>
        <w:top w:val="none" w:sz="0" w:space="0" w:color="auto"/>
        <w:left w:val="none" w:sz="0" w:space="0" w:color="auto"/>
        <w:bottom w:val="none" w:sz="0" w:space="0" w:color="auto"/>
        <w:right w:val="none" w:sz="0" w:space="0" w:color="auto"/>
      </w:divBdr>
    </w:div>
    <w:div w:id="466314997">
      <w:bodyDiv w:val="1"/>
      <w:marLeft w:val="0"/>
      <w:marRight w:val="0"/>
      <w:marTop w:val="0"/>
      <w:marBottom w:val="0"/>
      <w:divBdr>
        <w:top w:val="none" w:sz="0" w:space="0" w:color="auto"/>
        <w:left w:val="none" w:sz="0" w:space="0" w:color="auto"/>
        <w:bottom w:val="none" w:sz="0" w:space="0" w:color="auto"/>
        <w:right w:val="none" w:sz="0" w:space="0" w:color="auto"/>
      </w:divBdr>
    </w:div>
    <w:div w:id="494146283">
      <w:bodyDiv w:val="1"/>
      <w:marLeft w:val="0"/>
      <w:marRight w:val="0"/>
      <w:marTop w:val="0"/>
      <w:marBottom w:val="0"/>
      <w:divBdr>
        <w:top w:val="none" w:sz="0" w:space="0" w:color="auto"/>
        <w:left w:val="none" w:sz="0" w:space="0" w:color="auto"/>
        <w:bottom w:val="none" w:sz="0" w:space="0" w:color="auto"/>
        <w:right w:val="none" w:sz="0" w:space="0" w:color="auto"/>
      </w:divBdr>
    </w:div>
    <w:div w:id="521214259">
      <w:bodyDiv w:val="1"/>
      <w:marLeft w:val="0"/>
      <w:marRight w:val="0"/>
      <w:marTop w:val="0"/>
      <w:marBottom w:val="0"/>
      <w:divBdr>
        <w:top w:val="none" w:sz="0" w:space="0" w:color="auto"/>
        <w:left w:val="none" w:sz="0" w:space="0" w:color="auto"/>
        <w:bottom w:val="none" w:sz="0" w:space="0" w:color="auto"/>
        <w:right w:val="none" w:sz="0" w:space="0" w:color="auto"/>
      </w:divBdr>
    </w:div>
    <w:div w:id="550196514">
      <w:bodyDiv w:val="1"/>
      <w:marLeft w:val="0"/>
      <w:marRight w:val="0"/>
      <w:marTop w:val="0"/>
      <w:marBottom w:val="0"/>
      <w:divBdr>
        <w:top w:val="none" w:sz="0" w:space="0" w:color="auto"/>
        <w:left w:val="none" w:sz="0" w:space="0" w:color="auto"/>
        <w:bottom w:val="none" w:sz="0" w:space="0" w:color="auto"/>
        <w:right w:val="none" w:sz="0" w:space="0" w:color="auto"/>
      </w:divBdr>
    </w:div>
    <w:div w:id="591398326">
      <w:bodyDiv w:val="1"/>
      <w:marLeft w:val="0"/>
      <w:marRight w:val="0"/>
      <w:marTop w:val="0"/>
      <w:marBottom w:val="0"/>
      <w:divBdr>
        <w:top w:val="none" w:sz="0" w:space="0" w:color="auto"/>
        <w:left w:val="none" w:sz="0" w:space="0" w:color="auto"/>
        <w:bottom w:val="none" w:sz="0" w:space="0" w:color="auto"/>
        <w:right w:val="none" w:sz="0" w:space="0" w:color="auto"/>
      </w:divBdr>
    </w:div>
    <w:div w:id="594284341">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39311987">
      <w:bodyDiv w:val="1"/>
      <w:marLeft w:val="0"/>
      <w:marRight w:val="0"/>
      <w:marTop w:val="0"/>
      <w:marBottom w:val="0"/>
      <w:divBdr>
        <w:top w:val="none" w:sz="0" w:space="0" w:color="auto"/>
        <w:left w:val="none" w:sz="0" w:space="0" w:color="auto"/>
        <w:bottom w:val="none" w:sz="0" w:space="0" w:color="auto"/>
        <w:right w:val="none" w:sz="0" w:space="0" w:color="auto"/>
      </w:divBdr>
    </w:div>
    <w:div w:id="654842157">
      <w:bodyDiv w:val="1"/>
      <w:marLeft w:val="0"/>
      <w:marRight w:val="0"/>
      <w:marTop w:val="0"/>
      <w:marBottom w:val="0"/>
      <w:divBdr>
        <w:top w:val="none" w:sz="0" w:space="0" w:color="auto"/>
        <w:left w:val="none" w:sz="0" w:space="0" w:color="auto"/>
        <w:bottom w:val="none" w:sz="0" w:space="0" w:color="auto"/>
        <w:right w:val="none" w:sz="0" w:space="0" w:color="auto"/>
      </w:divBdr>
    </w:div>
    <w:div w:id="660696416">
      <w:bodyDiv w:val="1"/>
      <w:marLeft w:val="0"/>
      <w:marRight w:val="0"/>
      <w:marTop w:val="0"/>
      <w:marBottom w:val="0"/>
      <w:divBdr>
        <w:top w:val="none" w:sz="0" w:space="0" w:color="auto"/>
        <w:left w:val="none" w:sz="0" w:space="0" w:color="auto"/>
        <w:bottom w:val="none" w:sz="0" w:space="0" w:color="auto"/>
        <w:right w:val="none" w:sz="0" w:space="0" w:color="auto"/>
      </w:divBdr>
    </w:div>
    <w:div w:id="664935080">
      <w:bodyDiv w:val="1"/>
      <w:marLeft w:val="0"/>
      <w:marRight w:val="0"/>
      <w:marTop w:val="0"/>
      <w:marBottom w:val="0"/>
      <w:divBdr>
        <w:top w:val="none" w:sz="0" w:space="0" w:color="auto"/>
        <w:left w:val="none" w:sz="0" w:space="0" w:color="auto"/>
        <w:bottom w:val="none" w:sz="0" w:space="0" w:color="auto"/>
        <w:right w:val="none" w:sz="0" w:space="0" w:color="auto"/>
      </w:divBdr>
    </w:div>
    <w:div w:id="665985340">
      <w:bodyDiv w:val="1"/>
      <w:marLeft w:val="0"/>
      <w:marRight w:val="0"/>
      <w:marTop w:val="0"/>
      <w:marBottom w:val="0"/>
      <w:divBdr>
        <w:top w:val="none" w:sz="0" w:space="0" w:color="auto"/>
        <w:left w:val="none" w:sz="0" w:space="0" w:color="auto"/>
        <w:bottom w:val="none" w:sz="0" w:space="0" w:color="auto"/>
        <w:right w:val="none" w:sz="0" w:space="0" w:color="auto"/>
      </w:divBdr>
    </w:div>
    <w:div w:id="669673616">
      <w:bodyDiv w:val="1"/>
      <w:marLeft w:val="0"/>
      <w:marRight w:val="0"/>
      <w:marTop w:val="0"/>
      <w:marBottom w:val="0"/>
      <w:divBdr>
        <w:top w:val="none" w:sz="0" w:space="0" w:color="auto"/>
        <w:left w:val="none" w:sz="0" w:space="0" w:color="auto"/>
        <w:bottom w:val="none" w:sz="0" w:space="0" w:color="auto"/>
        <w:right w:val="none" w:sz="0" w:space="0" w:color="auto"/>
      </w:divBdr>
    </w:div>
    <w:div w:id="678002605">
      <w:bodyDiv w:val="1"/>
      <w:marLeft w:val="0"/>
      <w:marRight w:val="0"/>
      <w:marTop w:val="0"/>
      <w:marBottom w:val="0"/>
      <w:divBdr>
        <w:top w:val="none" w:sz="0" w:space="0" w:color="auto"/>
        <w:left w:val="none" w:sz="0" w:space="0" w:color="auto"/>
        <w:bottom w:val="none" w:sz="0" w:space="0" w:color="auto"/>
        <w:right w:val="none" w:sz="0" w:space="0" w:color="auto"/>
      </w:divBdr>
    </w:div>
    <w:div w:id="700084248">
      <w:bodyDiv w:val="1"/>
      <w:marLeft w:val="0"/>
      <w:marRight w:val="0"/>
      <w:marTop w:val="0"/>
      <w:marBottom w:val="0"/>
      <w:divBdr>
        <w:top w:val="none" w:sz="0" w:space="0" w:color="auto"/>
        <w:left w:val="none" w:sz="0" w:space="0" w:color="auto"/>
        <w:bottom w:val="none" w:sz="0" w:space="0" w:color="auto"/>
        <w:right w:val="none" w:sz="0" w:space="0" w:color="auto"/>
      </w:divBdr>
    </w:div>
    <w:div w:id="711538694">
      <w:bodyDiv w:val="1"/>
      <w:marLeft w:val="0"/>
      <w:marRight w:val="0"/>
      <w:marTop w:val="0"/>
      <w:marBottom w:val="0"/>
      <w:divBdr>
        <w:top w:val="none" w:sz="0" w:space="0" w:color="auto"/>
        <w:left w:val="none" w:sz="0" w:space="0" w:color="auto"/>
        <w:bottom w:val="none" w:sz="0" w:space="0" w:color="auto"/>
        <w:right w:val="none" w:sz="0" w:space="0" w:color="auto"/>
      </w:divBdr>
    </w:div>
    <w:div w:id="715662022">
      <w:bodyDiv w:val="1"/>
      <w:marLeft w:val="0"/>
      <w:marRight w:val="0"/>
      <w:marTop w:val="0"/>
      <w:marBottom w:val="0"/>
      <w:divBdr>
        <w:top w:val="none" w:sz="0" w:space="0" w:color="auto"/>
        <w:left w:val="none" w:sz="0" w:space="0" w:color="auto"/>
        <w:bottom w:val="none" w:sz="0" w:space="0" w:color="auto"/>
        <w:right w:val="none" w:sz="0" w:space="0" w:color="auto"/>
      </w:divBdr>
    </w:div>
    <w:div w:id="727803392">
      <w:bodyDiv w:val="1"/>
      <w:marLeft w:val="0"/>
      <w:marRight w:val="0"/>
      <w:marTop w:val="0"/>
      <w:marBottom w:val="0"/>
      <w:divBdr>
        <w:top w:val="none" w:sz="0" w:space="0" w:color="auto"/>
        <w:left w:val="none" w:sz="0" w:space="0" w:color="auto"/>
        <w:bottom w:val="none" w:sz="0" w:space="0" w:color="auto"/>
        <w:right w:val="none" w:sz="0" w:space="0" w:color="auto"/>
      </w:divBdr>
    </w:div>
    <w:div w:id="748500431">
      <w:bodyDiv w:val="1"/>
      <w:marLeft w:val="0"/>
      <w:marRight w:val="0"/>
      <w:marTop w:val="0"/>
      <w:marBottom w:val="0"/>
      <w:divBdr>
        <w:top w:val="none" w:sz="0" w:space="0" w:color="auto"/>
        <w:left w:val="none" w:sz="0" w:space="0" w:color="auto"/>
        <w:bottom w:val="none" w:sz="0" w:space="0" w:color="auto"/>
        <w:right w:val="none" w:sz="0" w:space="0" w:color="auto"/>
      </w:divBdr>
    </w:div>
    <w:div w:id="777716992">
      <w:bodyDiv w:val="1"/>
      <w:marLeft w:val="0"/>
      <w:marRight w:val="0"/>
      <w:marTop w:val="0"/>
      <w:marBottom w:val="0"/>
      <w:divBdr>
        <w:top w:val="none" w:sz="0" w:space="0" w:color="auto"/>
        <w:left w:val="none" w:sz="0" w:space="0" w:color="auto"/>
        <w:bottom w:val="none" w:sz="0" w:space="0" w:color="auto"/>
        <w:right w:val="none" w:sz="0" w:space="0" w:color="auto"/>
      </w:divBdr>
    </w:div>
    <w:div w:id="789470264">
      <w:bodyDiv w:val="1"/>
      <w:marLeft w:val="0"/>
      <w:marRight w:val="0"/>
      <w:marTop w:val="0"/>
      <w:marBottom w:val="0"/>
      <w:divBdr>
        <w:top w:val="none" w:sz="0" w:space="0" w:color="auto"/>
        <w:left w:val="none" w:sz="0" w:space="0" w:color="auto"/>
        <w:bottom w:val="none" w:sz="0" w:space="0" w:color="auto"/>
        <w:right w:val="none" w:sz="0" w:space="0" w:color="auto"/>
      </w:divBdr>
    </w:div>
    <w:div w:id="801270355">
      <w:bodyDiv w:val="1"/>
      <w:marLeft w:val="0"/>
      <w:marRight w:val="0"/>
      <w:marTop w:val="0"/>
      <w:marBottom w:val="0"/>
      <w:divBdr>
        <w:top w:val="none" w:sz="0" w:space="0" w:color="auto"/>
        <w:left w:val="none" w:sz="0" w:space="0" w:color="auto"/>
        <w:bottom w:val="none" w:sz="0" w:space="0" w:color="auto"/>
        <w:right w:val="none" w:sz="0" w:space="0" w:color="auto"/>
      </w:divBdr>
    </w:div>
    <w:div w:id="806438611">
      <w:bodyDiv w:val="1"/>
      <w:marLeft w:val="0"/>
      <w:marRight w:val="0"/>
      <w:marTop w:val="0"/>
      <w:marBottom w:val="0"/>
      <w:divBdr>
        <w:top w:val="none" w:sz="0" w:space="0" w:color="auto"/>
        <w:left w:val="none" w:sz="0" w:space="0" w:color="auto"/>
        <w:bottom w:val="none" w:sz="0" w:space="0" w:color="auto"/>
        <w:right w:val="none" w:sz="0" w:space="0" w:color="auto"/>
      </w:divBdr>
    </w:div>
    <w:div w:id="828247438">
      <w:bodyDiv w:val="1"/>
      <w:marLeft w:val="0"/>
      <w:marRight w:val="0"/>
      <w:marTop w:val="0"/>
      <w:marBottom w:val="0"/>
      <w:divBdr>
        <w:top w:val="none" w:sz="0" w:space="0" w:color="auto"/>
        <w:left w:val="none" w:sz="0" w:space="0" w:color="auto"/>
        <w:bottom w:val="none" w:sz="0" w:space="0" w:color="auto"/>
        <w:right w:val="none" w:sz="0" w:space="0" w:color="auto"/>
      </w:divBdr>
    </w:div>
    <w:div w:id="843860842">
      <w:bodyDiv w:val="1"/>
      <w:marLeft w:val="0"/>
      <w:marRight w:val="0"/>
      <w:marTop w:val="0"/>
      <w:marBottom w:val="0"/>
      <w:divBdr>
        <w:top w:val="none" w:sz="0" w:space="0" w:color="auto"/>
        <w:left w:val="none" w:sz="0" w:space="0" w:color="auto"/>
        <w:bottom w:val="none" w:sz="0" w:space="0" w:color="auto"/>
        <w:right w:val="none" w:sz="0" w:space="0" w:color="auto"/>
      </w:divBdr>
    </w:div>
    <w:div w:id="870385571">
      <w:bodyDiv w:val="1"/>
      <w:marLeft w:val="0"/>
      <w:marRight w:val="0"/>
      <w:marTop w:val="0"/>
      <w:marBottom w:val="0"/>
      <w:divBdr>
        <w:top w:val="none" w:sz="0" w:space="0" w:color="auto"/>
        <w:left w:val="none" w:sz="0" w:space="0" w:color="auto"/>
        <w:bottom w:val="none" w:sz="0" w:space="0" w:color="auto"/>
        <w:right w:val="none" w:sz="0" w:space="0" w:color="auto"/>
      </w:divBdr>
    </w:div>
    <w:div w:id="879560757">
      <w:bodyDiv w:val="1"/>
      <w:marLeft w:val="0"/>
      <w:marRight w:val="0"/>
      <w:marTop w:val="0"/>
      <w:marBottom w:val="0"/>
      <w:divBdr>
        <w:top w:val="none" w:sz="0" w:space="0" w:color="auto"/>
        <w:left w:val="none" w:sz="0" w:space="0" w:color="auto"/>
        <w:bottom w:val="none" w:sz="0" w:space="0" w:color="auto"/>
        <w:right w:val="none" w:sz="0" w:space="0" w:color="auto"/>
      </w:divBdr>
    </w:div>
    <w:div w:id="883635990">
      <w:bodyDiv w:val="1"/>
      <w:marLeft w:val="0"/>
      <w:marRight w:val="0"/>
      <w:marTop w:val="0"/>
      <w:marBottom w:val="0"/>
      <w:divBdr>
        <w:top w:val="none" w:sz="0" w:space="0" w:color="auto"/>
        <w:left w:val="none" w:sz="0" w:space="0" w:color="auto"/>
        <w:bottom w:val="none" w:sz="0" w:space="0" w:color="auto"/>
        <w:right w:val="none" w:sz="0" w:space="0" w:color="auto"/>
      </w:divBdr>
    </w:div>
    <w:div w:id="886406307">
      <w:bodyDiv w:val="1"/>
      <w:marLeft w:val="0"/>
      <w:marRight w:val="0"/>
      <w:marTop w:val="0"/>
      <w:marBottom w:val="0"/>
      <w:divBdr>
        <w:top w:val="none" w:sz="0" w:space="0" w:color="auto"/>
        <w:left w:val="none" w:sz="0" w:space="0" w:color="auto"/>
        <w:bottom w:val="none" w:sz="0" w:space="0" w:color="auto"/>
        <w:right w:val="none" w:sz="0" w:space="0" w:color="auto"/>
      </w:divBdr>
    </w:div>
    <w:div w:id="890387345">
      <w:bodyDiv w:val="1"/>
      <w:marLeft w:val="0"/>
      <w:marRight w:val="0"/>
      <w:marTop w:val="0"/>
      <w:marBottom w:val="0"/>
      <w:divBdr>
        <w:top w:val="none" w:sz="0" w:space="0" w:color="auto"/>
        <w:left w:val="none" w:sz="0" w:space="0" w:color="auto"/>
        <w:bottom w:val="none" w:sz="0" w:space="0" w:color="auto"/>
        <w:right w:val="none" w:sz="0" w:space="0" w:color="auto"/>
      </w:divBdr>
    </w:div>
    <w:div w:id="892429401">
      <w:bodyDiv w:val="1"/>
      <w:marLeft w:val="0"/>
      <w:marRight w:val="0"/>
      <w:marTop w:val="0"/>
      <w:marBottom w:val="0"/>
      <w:divBdr>
        <w:top w:val="none" w:sz="0" w:space="0" w:color="auto"/>
        <w:left w:val="none" w:sz="0" w:space="0" w:color="auto"/>
        <w:bottom w:val="none" w:sz="0" w:space="0" w:color="auto"/>
        <w:right w:val="none" w:sz="0" w:space="0" w:color="auto"/>
      </w:divBdr>
    </w:div>
    <w:div w:id="903032960">
      <w:bodyDiv w:val="1"/>
      <w:marLeft w:val="0"/>
      <w:marRight w:val="0"/>
      <w:marTop w:val="0"/>
      <w:marBottom w:val="0"/>
      <w:divBdr>
        <w:top w:val="none" w:sz="0" w:space="0" w:color="auto"/>
        <w:left w:val="none" w:sz="0" w:space="0" w:color="auto"/>
        <w:bottom w:val="none" w:sz="0" w:space="0" w:color="auto"/>
        <w:right w:val="none" w:sz="0" w:space="0" w:color="auto"/>
      </w:divBdr>
    </w:div>
    <w:div w:id="906263673">
      <w:bodyDiv w:val="1"/>
      <w:marLeft w:val="0"/>
      <w:marRight w:val="0"/>
      <w:marTop w:val="0"/>
      <w:marBottom w:val="0"/>
      <w:divBdr>
        <w:top w:val="none" w:sz="0" w:space="0" w:color="auto"/>
        <w:left w:val="none" w:sz="0" w:space="0" w:color="auto"/>
        <w:bottom w:val="none" w:sz="0" w:space="0" w:color="auto"/>
        <w:right w:val="none" w:sz="0" w:space="0" w:color="auto"/>
      </w:divBdr>
    </w:div>
    <w:div w:id="916865073">
      <w:bodyDiv w:val="1"/>
      <w:marLeft w:val="0"/>
      <w:marRight w:val="0"/>
      <w:marTop w:val="0"/>
      <w:marBottom w:val="0"/>
      <w:divBdr>
        <w:top w:val="none" w:sz="0" w:space="0" w:color="auto"/>
        <w:left w:val="none" w:sz="0" w:space="0" w:color="auto"/>
        <w:bottom w:val="none" w:sz="0" w:space="0" w:color="auto"/>
        <w:right w:val="none" w:sz="0" w:space="0" w:color="auto"/>
      </w:divBdr>
    </w:div>
    <w:div w:id="918901097">
      <w:bodyDiv w:val="1"/>
      <w:marLeft w:val="0"/>
      <w:marRight w:val="0"/>
      <w:marTop w:val="0"/>
      <w:marBottom w:val="0"/>
      <w:divBdr>
        <w:top w:val="none" w:sz="0" w:space="0" w:color="auto"/>
        <w:left w:val="none" w:sz="0" w:space="0" w:color="auto"/>
        <w:bottom w:val="none" w:sz="0" w:space="0" w:color="auto"/>
        <w:right w:val="none" w:sz="0" w:space="0" w:color="auto"/>
      </w:divBdr>
    </w:div>
    <w:div w:id="922956890">
      <w:bodyDiv w:val="1"/>
      <w:marLeft w:val="0"/>
      <w:marRight w:val="0"/>
      <w:marTop w:val="0"/>
      <w:marBottom w:val="0"/>
      <w:divBdr>
        <w:top w:val="none" w:sz="0" w:space="0" w:color="auto"/>
        <w:left w:val="none" w:sz="0" w:space="0" w:color="auto"/>
        <w:bottom w:val="none" w:sz="0" w:space="0" w:color="auto"/>
        <w:right w:val="none" w:sz="0" w:space="0" w:color="auto"/>
      </w:divBdr>
    </w:div>
    <w:div w:id="924876333">
      <w:bodyDiv w:val="1"/>
      <w:marLeft w:val="0"/>
      <w:marRight w:val="0"/>
      <w:marTop w:val="0"/>
      <w:marBottom w:val="0"/>
      <w:divBdr>
        <w:top w:val="none" w:sz="0" w:space="0" w:color="auto"/>
        <w:left w:val="none" w:sz="0" w:space="0" w:color="auto"/>
        <w:bottom w:val="none" w:sz="0" w:space="0" w:color="auto"/>
        <w:right w:val="none" w:sz="0" w:space="0" w:color="auto"/>
      </w:divBdr>
    </w:div>
    <w:div w:id="939531404">
      <w:bodyDiv w:val="1"/>
      <w:marLeft w:val="0"/>
      <w:marRight w:val="0"/>
      <w:marTop w:val="0"/>
      <w:marBottom w:val="0"/>
      <w:divBdr>
        <w:top w:val="none" w:sz="0" w:space="0" w:color="auto"/>
        <w:left w:val="none" w:sz="0" w:space="0" w:color="auto"/>
        <w:bottom w:val="none" w:sz="0" w:space="0" w:color="auto"/>
        <w:right w:val="none" w:sz="0" w:space="0" w:color="auto"/>
      </w:divBdr>
    </w:div>
    <w:div w:id="958220609">
      <w:bodyDiv w:val="1"/>
      <w:marLeft w:val="0"/>
      <w:marRight w:val="0"/>
      <w:marTop w:val="0"/>
      <w:marBottom w:val="0"/>
      <w:divBdr>
        <w:top w:val="none" w:sz="0" w:space="0" w:color="auto"/>
        <w:left w:val="none" w:sz="0" w:space="0" w:color="auto"/>
        <w:bottom w:val="none" w:sz="0" w:space="0" w:color="auto"/>
        <w:right w:val="none" w:sz="0" w:space="0" w:color="auto"/>
      </w:divBdr>
    </w:div>
    <w:div w:id="969017121">
      <w:bodyDiv w:val="1"/>
      <w:marLeft w:val="0"/>
      <w:marRight w:val="0"/>
      <w:marTop w:val="0"/>
      <w:marBottom w:val="0"/>
      <w:divBdr>
        <w:top w:val="none" w:sz="0" w:space="0" w:color="auto"/>
        <w:left w:val="none" w:sz="0" w:space="0" w:color="auto"/>
        <w:bottom w:val="none" w:sz="0" w:space="0" w:color="auto"/>
        <w:right w:val="none" w:sz="0" w:space="0" w:color="auto"/>
      </w:divBdr>
    </w:div>
    <w:div w:id="970402306">
      <w:bodyDiv w:val="1"/>
      <w:marLeft w:val="0"/>
      <w:marRight w:val="0"/>
      <w:marTop w:val="0"/>
      <w:marBottom w:val="0"/>
      <w:divBdr>
        <w:top w:val="none" w:sz="0" w:space="0" w:color="auto"/>
        <w:left w:val="none" w:sz="0" w:space="0" w:color="auto"/>
        <w:bottom w:val="none" w:sz="0" w:space="0" w:color="auto"/>
        <w:right w:val="none" w:sz="0" w:space="0" w:color="auto"/>
      </w:divBdr>
      <w:divsChild>
        <w:div w:id="1869904903">
          <w:marLeft w:val="0"/>
          <w:marRight w:val="0"/>
          <w:marTop w:val="0"/>
          <w:marBottom w:val="0"/>
          <w:divBdr>
            <w:top w:val="none" w:sz="0" w:space="0" w:color="auto"/>
            <w:left w:val="none" w:sz="0" w:space="0" w:color="auto"/>
            <w:bottom w:val="none" w:sz="0" w:space="0" w:color="auto"/>
            <w:right w:val="none" w:sz="0" w:space="0" w:color="auto"/>
          </w:divBdr>
        </w:div>
      </w:divsChild>
    </w:div>
    <w:div w:id="986713815">
      <w:bodyDiv w:val="1"/>
      <w:marLeft w:val="0"/>
      <w:marRight w:val="0"/>
      <w:marTop w:val="0"/>
      <w:marBottom w:val="0"/>
      <w:divBdr>
        <w:top w:val="none" w:sz="0" w:space="0" w:color="auto"/>
        <w:left w:val="none" w:sz="0" w:space="0" w:color="auto"/>
        <w:bottom w:val="none" w:sz="0" w:space="0" w:color="auto"/>
        <w:right w:val="none" w:sz="0" w:space="0" w:color="auto"/>
      </w:divBdr>
    </w:div>
    <w:div w:id="1019161441">
      <w:bodyDiv w:val="1"/>
      <w:marLeft w:val="0"/>
      <w:marRight w:val="0"/>
      <w:marTop w:val="0"/>
      <w:marBottom w:val="0"/>
      <w:divBdr>
        <w:top w:val="none" w:sz="0" w:space="0" w:color="auto"/>
        <w:left w:val="none" w:sz="0" w:space="0" w:color="auto"/>
        <w:bottom w:val="none" w:sz="0" w:space="0" w:color="auto"/>
        <w:right w:val="none" w:sz="0" w:space="0" w:color="auto"/>
      </w:divBdr>
    </w:div>
    <w:div w:id="1076587992">
      <w:bodyDiv w:val="1"/>
      <w:marLeft w:val="0"/>
      <w:marRight w:val="0"/>
      <w:marTop w:val="0"/>
      <w:marBottom w:val="0"/>
      <w:divBdr>
        <w:top w:val="none" w:sz="0" w:space="0" w:color="auto"/>
        <w:left w:val="none" w:sz="0" w:space="0" w:color="auto"/>
        <w:bottom w:val="none" w:sz="0" w:space="0" w:color="auto"/>
        <w:right w:val="none" w:sz="0" w:space="0" w:color="auto"/>
      </w:divBdr>
    </w:div>
    <w:div w:id="1081635629">
      <w:bodyDiv w:val="1"/>
      <w:marLeft w:val="0"/>
      <w:marRight w:val="0"/>
      <w:marTop w:val="0"/>
      <w:marBottom w:val="0"/>
      <w:divBdr>
        <w:top w:val="none" w:sz="0" w:space="0" w:color="auto"/>
        <w:left w:val="none" w:sz="0" w:space="0" w:color="auto"/>
        <w:bottom w:val="none" w:sz="0" w:space="0" w:color="auto"/>
        <w:right w:val="none" w:sz="0" w:space="0" w:color="auto"/>
      </w:divBdr>
      <w:divsChild>
        <w:div w:id="1426539837">
          <w:marLeft w:val="0"/>
          <w:marRight w:val="0"/>
          <w:marTop w:val="0"/>
          <w:marBottom w:val="0"/>
          <w:divBdr>
            <w:top w:val="none" w:sz="0" w:space="0" w:color="auto"/>
            <w:left w:val="none" w:sz="0" w:space="0" w:color="auto"/>
            <w:bottom w:val="none" w:sz="0" w:space="0" w:color="auto"/>
            <w:right w:val="none" w:sz="0" w:space="0" w:color="auto"/>
          </w:divBdr>
        </w:div>
      </w:divsChild>
    </w:div>
    <w:div w:id="1097948657">
      <w:bodyDiv w:val="1"/>
      <w:marLeft w:val="0"/>
      <w:marRight w:val="0"/>
      <w:marTop w:val="0"/>
      <w:marBottom w:val="0"/>
      <w:divBdr>
        <w:top w:val="none" w:sz="0" w:space="0" w:color="auto"/>
        <w:left w:val="none" w:sz="0" w:space="0" w:color="auto"/>
        <w:bottom w:val="none" w:sz="0" w:space="0" w:color="auto"/>
        <w:right w:val="none" w:sz="0" w:space="0" w:color="auto"/>
      </w:divBdr>
    </w:div>
    <w:div w:id="1098599105">
      <w:bodyDiv w:val="1"/>
      <w:marLeft w:val="0"/>
      <w:marRight w:val="0"/>
      <w:marTop w:val="0"/>
      <w:marBottom w:val="0"/>
      <w:divBdr>
        <w:top w:val="none" w:sz="0" w:space="0" w:color="auto"/>
        <w:left w:val="none" w:sz="0" w:space="0" w:color="auto"/>
        <w:bottom w:val="none" w:sz="0" w:space="0" w:color="auto"/>
        <w:right w:val="none" w:sz="0" w:space="0" w:color="auto"/>
      </w:divBdr>
      <w:divsChild>
        <w:div w:id="232349780">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119252560">
      <w:bodyDiv w:val="1"/>
      <w:marLeft w:val="0"/>
      <w:marRight w:val="0"/>
      <w:marTop w:val="0"/>
      <w:marBottom w:val="0"/>
      <w:divBdr>
        <w:top w:val="none" w:sz="0" w:space="0" w:color="auto"/>
        <w:left w:val="none" w:sz="0" w:space="0" w:color="auto"/>
        <w:bottom w:val="none" w:sz="0" w:space="0" w:color="auto"/>
        <w:right w:val="none" w:sz="0" w:space="0" w:color="auto"/>
      </w:divBdr>
      <w:divsChild>
        <w:div w:id="18745196">
          <w:marLeft w:val="0"/>
          <w:marRight w:val="0"/>
          <w:marTop w:val="0"/>
          <w:marBottom w:val="0"/>
          <w:divBdr>
            <w:top w:val="none" w:sz="0" w:space="0" w:color="auto"/>
            <w:left w:val="none" w:sz="0" w:space="0" w:color="auto"/>
            <w:bottom w:val="none" w:sz="0" w:space="0" w:color="auto"/>
            <w:right w:val="none" w:sz="0" w:space="0" w:color="auto"/>
          </w:divBdr>
        </w:div>
      </w:divsChild>
    </w:div>
    <w:div w:id="1126660584">
      <w:bodyDiv w:val="1"/>
      <w:marLeft w:val="0"/>
      <w:marRight w:val="0"/>
      <w:marTop w:val="0"/>
      <w:marBottom w:val="0"/>
      <w:divBdr>
        <w:top w:val="none" w:sz="0" w:space="0" w:color="auto"/>
        <w:left w:val="none" w:sz="0" w:space="0" w:color="auto"/>
        <w:bottom w:val="none" w:sz="0" w:space="0" w:color="auto"/>
        <w:right w:val="none" w:sz="0" w:space="0" w:color="auto"/>
      </w:divBdr>
    </w:div>
    <w:div w:id="1136215515">
      <w:bodyDiv w:val="1"/>
      <w:marLeft w:val="0"/>
      <w:marRight w:val="0"/>
      <w:marTop w:val="0"/>
      <w:marBottom w:val="0"/>
      <w:divBdr>
        <w:top w:val="none" w:sz="0" w:space="0" w:color="auto"/>
        <w:left w:val="none" w:sz="0" w:space="0" w:color="auto"/>
        <w:bottom w:val="none" w:sz="0" w:space="0" w:color="auto"/>
        <w:right w:val="none" w:sz="0" w:space="0" w:color="auto"/>
      </w:divBdr>
    </w:div>
    <w:div w:id="1171876733">
      <w:bodyDiv w:val="1"/>
      <w:marLeft w:val="0"/>
      <w:marRight w:val="0"/>
      <w:marTop w:val="0"/>
      <w:marBottom w:val="0"/>
      <w:divBdr>
        <w:top w:val="none" w:sz="0" w:space="0" w:color="auto"/>
        <w:left w:val="none" w:sz="0" w:space="0" w:color="auto"/>
        <w:bottom w:val="none" w:sz="0" w:space="0" w:color="auto"/>
        <w:right w:val="none" w:sz="0" w:space="0" w:color="auto"/>
      </w:divBdr>
    </w:div>
    <w:div w:id="1176964967">
      <w:bodyDiv w:val="1"/>
      <w:marLeft w:val="0"/>
      <w:marRight w:val="0"/>
      <w:marTop w:val="0"/>
      <w:marBottom w:val="0"/>
      <w:divBdr>
        <w:top w:val="none" w:sz="0" w:space="0" w:color="auto"/>
        <w:left w:val="none" w:sz="0" w:space="0" w:color="auto"/>
        <w:bottom w:val="none" w:sz="0" w:space="0" w:color="auto"/>
        <w:right w:val="none" w:sz="0" w:space="0" w:color="auto"/>
      </w:divBdr>
    </w:div>
    <w:div w:id="1198665329">
      <w:bodyDiv w:val="1"/>
      <w:marLeft w:val="0"/>
      <w:marRight w:val="0"/>
      <w:marTop w:val="0"/>
      <w:marBottom w:val="0"/>
      <w:divBdr>
        <w:top w:val="none" w:sz="0" w:space="0" w:color="auto"/>
        <w:left w:val="none" w:sz="0" w:space="0" w:color="auto"/>
        <w:bottom w:val="none" w:sz="0" w:space="0" w:color="auto"/>
        <w:right w:val="none" w:sz="0" w:space="0" w:color="auto"/>
      </w:divBdr>
      <w:divsChild>
        <w:div w:id="1055649">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7718501">
      <w:bodyDiv w:val="1"/>
      <w:marLeft w:val="0"/>
      <w:marRight w:val="0"/>
      <w:marTop w:val="0"/>
      <w:marBottom w:val="0"/>
      <w:divBdr>
        <w:top w:val="none" w:sz="0" w:space="0" w:color="auto"/>
        <w:left w:val="none" w:sz="0" w:space="0" w:color="auto"/>
        <w:bottom w:val="none" w:sz="0" w:space="0" w:color="auto"/>
        <w:right w:val="none" w:sz="0" w:space="0" w:color="auto"/>
      </w:divBdr>
    </w:div>
    <w:div w:id="1280337479">
      <w:bodyDiv w:val="1"/>
      <w:marLeft w:val="0"/>
      <w:marRight w:val="0"/>
      <w:marTop w:val="0"/>
      <w:marBottom w:val="0"/>
      <w:divBdr>
        <w:top w:val="none" w:sz="0" w:space="0" w:color="auto"/>
        <w:left w:val="none" w:sz="0" w:space="0" w:color="auto"/>
        <w:bottom w:val="none" w:sz="0" w:space="0" w:color="auto"/>
        <w:right w:val="none" w:sz="0" w:space="0" w:color="auto"/>
      </w:divBdr>
    </w:div>
    <w:div w:id="1285500718">
      <w:bodyDiv w:val="1"/>
      <w:marLeft w:val="0"/>
      <w:marRight w:val="0"/>
      <w:marTop w:val="0"/>
      <w:marBottom w:val="0"/>
      <w:divBdr>
        <w:top w:val="none" w:sz="0" w:space="0" w:color="auto"/>
        <w:left w:val="none" w:sz="0" w:space="0" w:color="auto"/>
        <w:bottom w:val="none" w:sz="0" w:space="0" w:color="auto"/>
        <w:right w:val="none" w:sz="0" w:space="0" w:color="auto"/>
      </w:divBdr>
    </w:div>
    <w:div w:id="1313943670">
      <w:bodyDiv w:val="1"/>
      <w:marLeft w:val="0"/>
      <w:marRight w:val="0"/>
      <w:marTop w:val="0"/>
      <w:marBottom w:val="0"/>
      <w:divBdr>
        <w:top w:val="none" w:sz="0" w:space="0" w:color="auto"/>
        <w:left w:val="none" w:sz="0" w:space="0" w:color="auto"/>
        <w:bottom w:val="none" w:sz="0" w:space="0" w:color="auto"/>
        <w:right w:val="none" w:sz="0" w:space="0" w:color="auto"/>
      </w:divBdr>
    </w:div>
    <w:div w:id="1327975668">
      <w:bodyDiv w:val="1"/>
      <w:marLeft w:val="0"/>
      <w:marRight w:val="0"/>
      <w:marTop w:val="0"/>
      <w:marBottom w:val="0"/>
      <w:divBdr>
        <w:top w:val="none" w:sz="0" w:space="0" w:color="auto"/>
        <w:left w:val="none" w:sz="0" w:space="0" w:color="auto"/>
        <w:bottom w:val="none" w:sz="0" w:space="0" w:color="auto"/>
        <w:right w:val="none" w:sz="0" w:space="0" w:color="auto"/>
      </w:divBdr>
    </w:div>
    <w:div w:id="1330251831">
      <w:bodyDiv w:val="1"/>
      <w:marLeft w:val="0"/>
      <w:marRight w:val="0"/>
      <w:marTop w:val="0"/>
      <w:marBottom w:val="0"/>
      <w:divBdr>
        <w:top w:val="none" w:sz="0" w:space="0" w:color="auto"/>
        <w:left w:val="none" w:sz="0" w:space="0" w:color="auto"/>
        <w:bottom w:val="none" w:sz="0" w:space="0" w:color="auto"/>
        <w:right w:val="none" w:sz="0" w:space="0" w:color="auto"/>
      </w:divBdr>
    </w:div>
    <w:div w:id="1334142971">
      <w:bodyDiv w:val="1"/>
      <w:marLeft w:val="0"/>
      <w:marRight w:val="0"/>
      <w:marTop w:val="0"/>
      <w:marBottom w:val="0"/>
      <w:divBdr>
        <w:top w:val="none" w:sz="0" w:space="0" w:color="auto"/>
        <w:left w:val="none" w:sz="0" w:space="0" w:color="auto"/>
        <w:bottom w:val="none" w:sz="0" w:space="0" w:color="auto"/>
        <w:right w:val="none" w:sz="0" w:space="0" w:color="auto"/>
      </w:divBdr>
    </w:div>
    <w:div w:id="1354307206">
      <w:bodyDiv w:val="1"/>
      <w:marLeft w:val="0"/>
      <w:marRight w:val="0"/>
      <w:marTop w:val="0"/>
      <w:marBottom w:val="0"/>
      <w:divBdr>
        <w:top w:val="none" w:sz="0" w:space="0" w:color="auto"/>
        <w:left w:val="none" w:sz="0" w:space="0" w:color="auto"/>
        <w:bottom w:val="none" w:sz="0" w:space="0" w:color="auto"/>
        <w:right w:val="none" w:sz="0" w:space="0" w:color="auto"/>
      </w:divBdr>
    </w:div>
    <w:div w:id="1371805828">
      <w:bodyDiv w:val="1"/>
      <w:marLeft w:val="0"/>
      <w:marRight w:val="0"/>
      <w:marTop w:val="0"/>
      <w:marBottom w:val="0"/>
      <w:divBdr>
        <w:top w:val="none" w:sz="0" w:space="0" w:color="auto"/>
        <w:left w:val="none" w:sz="0" w:space="0" w:color="auto"/>
        <w:bottom w:val="none" w:sz="0" w:space="0" w:color="auto"/>
        <w:right w:val="none" w:sz="0" w:space="0" w:color="auto"/>
      </w:divBdr>
      <w:divsChild>
        <w:div w:id="885989507">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401488796">
      <w:bodyDiv w:val="1"/>
      <w:marLeft w:val="0"/>
      <w:marRight w:val="0"/>
      <w:marTop w:val="0"/>
      <w:marBottom w:val="0"/>
      <w:divBdr>
        <w:top w:val="none" w:sz="0" w:space="0" w:color="auto"/>
        <w:left w:val="none" w:sz="0" w:space="0" w:color="auto"/>
        <w:bottom w:val="none" w:sz="0" w:space="0" w:color="auto"/>
        <w:right w:val="none" w:sz="0" w:space="0" w:color="auto"/>
      </w:divBdr>
    </w:div>
    <w:div w:id="1403680862">
      <w:bodyDiv w:val="1"/>
      <w:marLeft w:val="0"/>
      <w:marRight w:val="0"/>
      <w:marTop w:val="0"/>
      <w:marBottom w:val="0"/>
      <w:divBdr>
        <w:top w:val="none" w:sz="0" w:space="0" w:color="auto"/>
        <w:left w:val="none" w:sz="0" w:space="0" w:color="auto"/>
        <w:bottom w:val="none" w:sz="0" w:space="0" w:color="auto"/>
        <w:right w:val="none" w:sz="0" w:space="0" w:color="auto"/>
      </w:divBdr>
    </w:div>
    <w:div w:id="1446775067">
      <w:bodyDiv w:val="1"/>
      <w:marLeft w:val="0"/>
      <w:marRight w:val="0"/>
      <w:marTop w:val="0"/>
      <w:marBottom w:val="0"/>
      <w:divBdr>
        <w:top w:val="none" w:sz="0" w:space="0" w:color="auto"/>
        <w:left w:val="none" w:sz="0" w:space="0" w:color="auto"/>
        <w:bottom w:val="none" w:sz="0" w:space="0" w:color="auto"/>
        <w:right w:val="none" w:sz="0" w:space="0" w:color="auto"/>
      </w:divBdr>
    </w:div>
    <w:div w:id="1459496975">
      <w:bodyDiv w:val="1"/>
      <w:marLeft w:val="0"/>
      <w:marRight w:val="0"/>
      <w:marTop w:val="0"/>
      <w:marBottom w:val="0"/>
      <w:divBdr>
        <w:top w:val="none" w:sz="0" w:space="0" w:color="auto"/>
        <w:left w:val="none" w:sz="0" w:space="0" w:color="auto"/>
        <w:bottom w:val="none" w:sz="0" w:space="0" w:color="auto"/>
        <w:right w:val="none" w:sz="0" w:space="0" w:color="auto"/>
      </w:divBdr>
    </w:div>
    <w:div w:id="1463579600">
      <w:bodyDiv w:val="1"/>
      <w:marLeft w:val="0"/>
      <w:marRight w:val="0"/>
      <w:marTop w:val="0"/>
      <w:marBottom w:val="0"/>
      <w:divBdr>
        <w:top w:val="none" w:sz="0" w:space="0" w:color="auto"/>
        <w:left w:val="none" w:sz="0" w:space="0" w:color="auto"/>
        <w:bottom w:val="none" w:sz="0" w:space="0" w:color="auto"/>
        <w:right w:val="none" w:sz="0" w:space="0" w:color="auto"/>
      </w:divBdr>
    </w:div>
    <w:div w:id="1470585462">
      <w:bodyDiv w:val="1"/>
      <w:marLeft w:val="0"/>
      <w:marRight w:val="0"/>
      <w:marTop w:val="0"/>
      <w:marBottom w:val="0"/>
      <w:divBdr>
        <w:top w:val="none" w:sz="0" w:space="0" w:color="auto"/>
        <w:left w:val="none" w:sz="0" w:space="0" w:color="auto"/>
        <w:bottom w:val="none" w:sz="0" w:space="0" w:color="auto"/>
        <w:right w:val="none" w:sz="0" w:space="0" w:color="auto"/>
      </w:divBdr>
    </w:div>
    <w:div w:id="1481773790">
      <w:bodyDiv w:val="1"/>
      <w:marLeft w:val="0"/>
      <w:marRight w:val="0"/>
      <w:marTop w:val="0"/>
      <w:marBottom w:val="0"/>
      <w:divBdr>
        <w:top w:val="none" w:sz="0" w:space="0" w:color="auto"/>
        <w:left w:val="none" w:sz="0" w:space="0" w:color="auto"/>
        <w:bottom w:val="none" w:sz="0" w:space="0" w:color="auto"/>
        <w:right w:val="none" w:sz="0" w:space="0" w:color="auto"/>
      </w:divBdr>
    </w:div>
    <w:div w:id="1494835157">
      <w:bodyDiv w:val="1"/>
      <w:marLeft w:val="0"/>
      <w:marRight w:val="0"/>
      <w:marTop w:val="0"/>
      <w:marBottom w:val="0"/>
      <w:divBdr>
        <w:top w:val="none" w:sz="0" w:space="0" w:color="auto"/>
        <w:left w:val="none" w:sz="0" w:space="0" w:color="auto"/>
        <w:bottom w:val="none" w:sz="0" w:space="0" w:color="auto"/>
        <w:right w:val="none" w:sz="0" w:space="0" w:color="auto"/>
      </w:divBdr>
    </w:div>
    <w:div w:id="1514566788">
      <w:bodyDiv w:val="1"/>
      <w:marLeft w:val="0"/>
      <w:marRight w:val="0"/>
      <w:marTop w:val="0"/>
      <w:marBottom w:val="0"/>
      <w:divBdr>
        <w:top w:val="none" w:sz="0" w:space="0" w:color="auto"/>
        <w:left w:val="none" w:sz="0" w:space="0" w:color="auto"/>
        <w:bottom w:val="none" w:sz="0" w:space="0" w:color="auto"/>
        <w:right w:val="none" w:sz="0" w:space="0" w:color="auto"/>
      </w:divBdr>
    </w:div>
    <w:div w:id="1524392721">
      <w:bodyDiv w:val="1"/>
      <w:marLeft w:val="0"/>
      <w:marRight w:val="0"/>
      <w:marTop w:val="0"/>
      <w:marBottom w:val="0"/>
      <w:divBdr>
        <w:top w:val="none" w:sz="0" w:space="0" w:color="auto"/>
        <w:left w:val="none" w:sz="0" w:space="0" w:color="auto"/>
        <w:bottom w:val="none" w:sz="0" w:space="0" w:color="auto"/>
        <w:right w:val="none" w:sz="0" w:space="0" w:color="auto"/>
      </w:divBdr>
    </w:div>
    <w:div w:id="1551267400">
      <w:bodyDiv w:val="1"/>
      <w:marLeft w:val="0"/>
      <w:marRight w:val="0"/>
      <w:marTop w:val="0"/>
      <w:marBottom w:val="0"/>
      <w:divBdr>
        <w:top w:val="none" w:sz="0" w:space="0" w:color="auto"/>
        <w:left w:val="none" w:sz="0" w:space="0" w:color="auto"/>
        <w:bottom w:val="none" w:sz="0" w:space="0" w:color="auto"/>
        <w:right w:val="none" w:sz="0" w:space="0" w:color="auto"/>
      </w:divBdr>
    </w:div>
    <w:div w:id="1556694460">
      <w:bodyDiv w:val="1"/>
      <w:marLeft w:val="0"/>
      <w:marRight w:val="0"/>
      <w:marTop w:val="0"/>
      <w:marBottom w:val="0"/>
      <w:divBdr>
        <w:top w:val="none" w:sz="0" w:space="0" w:color="auto"/>
        <w:left w:val="none" w:sz="0" w:space="0" w:color="auto"/>
        <w:bottom w:val="none" w:sz="0" w:space="0" w:color="auto"/>
        <w:right w:val="none" w:sz="0" w:space="0" w:color="auto"/>
      </w:divBdr>
    </w:div>
    <w:div w:id="1561133764">
      <w:bodyDiv w:val="1"/>
      <w:marLeft w:val="0"/>
      <w:marRight w:val="0"/>
      <w:marTop w:val="0"/>
      <w:marBottom w:val="0"/>
      <w:divBdr>
        <w:top w:val="none" w:sz="0" w:space="0" w:color="auto"/>
        <w:left w:val="none" w:sz="0" w:space="0" w:color="auto"/>
        <w:bottom w:val="none" w:sz="0" w:space="0" w:color="auto"/>
        <w:right w:val="none" w:sz="0" w:space="0" w:color="auto"/>
      </w:divBdr>
    </w:div>
    <w:div w:id="1564759533">
      <w:bodyDiv w:val="1"/>
      <w:marLeft w:val="0"/>
      <w:marRight w:val="0"/>
      <w:marTop w:val="0"/>
      <w:marBottom w:val="0"/>
      <w:divBdr>
        <w:top w:val="none" w:sz="0" w:space="0" w:color="auto"/>
        <w:left w:val="none" w:sz="0" w:space="0" w:color="auto"/>
        <w:bottom w:val="none" w:sz="0" w:space="0" w:color="auto"/>
        <w:right w:val="none" w:sz="0" w:space="0" w:color="auto"/>
      </w:divBdr>
    </w:div>
    <w:div w:id="1608997768">
      <w:bodyDiv w:val="1"/>
      <w:marLeft w:val="0"/>
      <w:marRight w:val="0"/>
      <w:marTop w:val="0"/>
      <w:marBottom w:val="0"/>
      <w:divBdr>
        <w:top w:val="none" w:sz="0" w:space="0" w:color="auto"/>
        <w:left w:val="none" w:sz="0" w:space="0" w:color="auto"/>
        <w:bottom w:val="none" w:sz="0" w:space="0" w:color="auto"/>
        <w:right w:val="none" w:sz="0" w:space="0" w:color="auto"/>
      </w:divBdr>
    </w:div>
    <w:div w:id="1662733602">
      <w:bodyDiv w:val="1"/>
      <w:marLeft w:val="0"/>
      <w:marRight w:val="0"/>
      <w:marTop w:val="0"/>
      <w:marBottom w:val="0"/>
      <w:divBdr>
        <w:top w:val="none" w:sz="0" w:space="0" w:color="auto"/>
        <w:left w:val="none" w:sz="0" w:space="0" w:color="auto"/>
        <w:bottom w:val="none" w:sz="0" w:space="0" w:color="auto"/>
        <w:right w:val="none" w:sz="0" w:space="0" w:color="auto"/>
      </w:divBdr>
    </w:div>
    <w:div w:id="1668552067">
      <w:bodyDiv w:val="1"/>
      <w:marLeft w:val="0"/>
      <w:marRight w:val="0"/>
      <w:marTop w:val="0"/>
      <w:marBottom w:val="0"/>
      <w:divBdr>
        <w:top w:val="none" w:sz="0" w:space="0" w:color="auto"/>
        <w:left w:val="none" w:sz="0" w:space="0" w:color="auto"/>
        <w:bottom w:val="none" w:sz="0" w:space="0" w:color="auto"/>
        <w:right w:val="none" w:sz="0" w:space="0" w:color="auto"/>
      </w:divBdr>
    </w:div>
    <w:div w:id="1677532213">
      <w:bodyDiv w:val="1"/>
      <w:marLeft w:val="0"/>
      <w:marRight w:val="0"/>
      <w:marTop w:val="0"/>
      <w:marBottom w:val="0"/>
      <w:divBdr>
        <w:top w:val="none" w:sz="0" w:space="0" w:color="auto"/>
        <w:left w:val="none" w:sz="0" w:space="0" w:color="auto"/>
        <w:bottom w:val="none" w:sz="0" w:space="0" w:color="auto"/>
        <w:right w:val="none" w:sz="0" w:space="0" w:color="auto"/>
      </w:divBdr>
    </w:div>
    <w:div w:id="1679774686">
      <w:bodyDiv w:val="1"/>
      <w:marLeft w:val="0"/>
      <w:marRight w:val="0"/>
      <w:marTop w:val="0"/>
      <w:marBottom w:val="0"/>
      <w:divBdr>
        <w:top w:val="none" w:sz="0" w:space="0" w:color="auto"/>
        <w:left w:val="none" w:sz="0" w:space="0" w:color="auto"/>
        <w:bottom w:val="none" w:sz="0" w:space="0" w:color="auto"/>
        <w:right w:val="none" w:sz="0" w:space="0" w:color="auto"/>
      </w:divBdr>
    </w:div>
    <w:div w:id="1749424673">
      <w:bodyDiv w:val="1"/>
      <w:marLeft w:val="0"/>
      <w:marRight w:val="0"/>
      <w:marTop w:val="0"/>
      <w:marBottom w:val="0"/>
      <w:divBdr>
        <w:top w:val="none" w:sz="0" w:space="0" w:color="auto"/>
        <w:left w:val="none" w:sz="0" w:space="0" w:color="auto"/>
        <w:bottom w:val="none" w:sz="0" w:space="0" w:color="auto"/>
        <w:right w:val="none" w:sz="0" w:space="0" w:color="auto"/>
      </w:divBdr>
    </w:div>
    <w:div w:id="1751854566">
      <w:bodyDiv w:val="1"/>
      <w:marLeft w:val="0"/>
      <w:marRight w:val="0"/>
      <w:marTop w:val="0"/>
      <w:marBottom w:val="0"/>
      <w:divBdr>
        <w:top w:val="none" w:sz="0" w:space="0" w:color="auto"/>
        <w:left w:val="none" w:sz="0" w:space="0" w:color="auto"/>
        <w:bottom w:val="none" w:sz="0" w:space="0" w:color="auto"/>
        <w:right w:val="none" w:sz="0" w:space="0" w:color="auto"/>
      </w:divBdr>
    </w:div>
    <w:div w:id="1769110334">
      <w:bodyDiv w:val="1"/>
      <w:marLeft w:val="0"/>
      <w:marRight w:val="0"/>
      <w:marTop w:val="0"/>
      <w:marBottom w:val="0"/>
      <w:divBdr>
        <w:top w:val="none" w:sz="0" w:space="0" w:color="auto"/>
        <w:left w:val="none" w:sz="0" w:space="0" w:color="auto"/>
        <w:bottom w:val="none" w:sz="0" w:space="0" w:color="auto"/>
        <w:right w:val="none" w:sz="0" w:space="0" w:color="auto"/>
      </w:divBdr>
    </w:div>
    <w:div w:id="1830513997">
      <w:bodyDiv w:val="1"/>
      <w:marLeft w:val="0"/>
      <w:marRight w:val="0"/>
      <w:marTop w:val="0"/>
      <w:marBottom w:val="0"/>
      <w:divBdr>
        <w:top w:val="none" w:sz="0" w:space="0" w:color="auto"/>
        <w:left w:val="none" w:sz="0" w:space="0" w:color="auto"/>
        <w:bottom w:val="none" w:sz="0" w:space="0" w:color="auto"/>
        <w:right w:val="none" w:sz="0" w:space="0" w:color="auto"/>
      </w:divBdr>
    </w:div>
    <w:div w:id="1834946916">
      <w:bodyDiv w:val="1"/>
      <w:marLeft w:val="0"/>
      <w:marRight w:val="0"/>
      <w:marTop w:val="0"/>
      <w:marBottom w:val="0"/>
      <w:divBdr>
        <w:top w:val="none" w:sz="0" w:space="0" w:color="auto"/>
        <w:left w:val="none" w:sz="0" w:space="0" w:color="auto"/>
        <w:bottom w:val="none" w:sz="0" w:space="0" w:color="auto"/>
        <w:right w:val="none" w:sz="0" w:space="0" w:color="auto"/>
      </w:divBdr>
    </w:div>
    <w:div w:id="1891307482">
      <w:bodyDiv w:val="1"/>
      <w:marLeft w:val="0"/>
      <w:marRight w:val="0"/>
      <w:marTop w:val="0"/>
      <w:marBottom w:val="0"/>
      <w:divBdr>
        <w:top w:val="none" w:sz="0" w:space="0" w:color="auto"/>
        <w:left w:val="none" w:sz="0" w:space="0" w:color="auto"/>
        <w:bottom w:val="none" w:sz="0" w:space="0" w:color="auto"/>
        <w:right w:val="none" w:sz="0" w:space="0" w:color="auto"/>
      </w:divBdr>
    </w:div>
    <w:div w:id="1894387783">
      <w:bodyDiv w:val="1"/>
      <w:marLeft w:val="0"/>
      <w:marRight w:val="0"/>
      <w:marTop w:val="0"/>
      <w:marBottom w:val="0"/>
      <w:divBdr>
        <w:top w:val="none" w:sz="0" w:space="0" w:color="auto"/>
        <w:left w:val="none" w:sz="0" w:space="0" w:color="auto"/>
        <w:bottom w:val="none" w:sz="0" w:space="0" w:color="auto"/>
        <w:right w:val="none" w:sz="0" w:space="0" w:color="auto"/>
      </w:divBdr>
    </w:div>
    <w:div w:id="1923567606">
      <w:bodyDiv w:val="1"/>
      <w:marLeft w:val="0"/>
      <w:marRight w:val="0"/>
      <w:marTop w:val="0"/>
      <w:marBottom w:val="0"/>
      <w:divBdr>
        <w:top w:val="none" w:sz="0" w:space="0" w:color="auto"/>
        <w:left w:val="none" w:sz="0" w:space="0" w:color="auto"/>
        <w:bottom w:val="none" w:sz="0" w:space="0" w:color="auto"/>
        <w:right w:val="none" w:sz="0" w:space="0" w:color="auto"/>
      </w:divBdr>
    </w:div>
    <w:div w:id="1926570280">
      <w:bodyDiv w:val="1"/>
      <w:marLeft w:val="0"/>
      <w:marRight w:val="0"/>
      <w:marTop w:val="0"/>
      <w:marBottom w:val="0"/>
      <w:divBdr>
        <w:top w:val="none" w:sz="0" w:space="0" w:color="auto"/>
        <w:left w:val="none" w:sz="0" w:space="0" w:color="auto"/>
        <w:bottom w:val="none" w:sz="0" w:space="0" w:color="auto"/>
        <w:right w:val="none" w:sz="0" w:space="0" w:color="auto"/>
      </w:divBdr>
    </w:div>
    <w:div w:id="1952085996">
      <w:bodyDiv w:val="1"/>
      <w:marLeft w:val="0"/>
      <w:marRight w:val="0"/>
      <w:marTop w:val="0"/>
      <w:marBottom w:val="0"/>
      <w:divBdr>
        <w:top w:val="none" w:sz="0" w:space="0" w:color="auto"/>
        <w:left w:val="none" w:sz="0" w:space="0" w:color="auto"/>
        <w:bottom w:val="none" w:sz="0" w:space="0" w:color="auto"/>
        <w:right w:val="none" w:sz="0" w:space="0" w:color="auto"/>
      </w:divBdr>
    </w:div>
    <w:div w:id="1956521840">
      <w:bodyDiv w:val="1"/>
      <w:marLeft w:val="0"/>
      <w:marRight w:val="0"/>
      <w:marTop w:val="0"/>
      <w:marBottom w:val="0"/>
      <w:divBdr>
        <w:top w:val="none" w:sz="0" w:space="0" w:color="auto"/>
        <w:left w:val="none" w:sz="0" w:space="0" w:color="auto"/>
        <w:bottom w:val="none" w:sz="0" w:space="0" w:color="auto"/>
        <w:right w:val="none" w:sz="0" w:space="0" w:color="auto"/>
      </w:divBdr>
    </w:div>
    <w:div w:id="2016372672">
      <w:bodyDiv w:val="1"/>
      <w:marLeft w:val="0"/>
      <w:marRight w:val="0"/>
      <w:marTop w:val="0"/>
      <w:marBottom w:val="0"/>
      <w:divBdr>
        <w:top w:val="none" w:sz="0" w:space="0" w:color="auto"/>
        <w:left w:val="none" w:sz="0" w:space="0" w:color="auto"/>
        <w:bottom w:val="none" w:sz="0" w:space="0" w:color="auto"/>
        <w:right w:val="none" w:sz="0" w:space="0" w:color="auto"/>
      </w:divBdr>
    </w:div>
    <w:div w:id="2019111308">
      <w:bodyDiv w:val="1"/>
      <w:marLeft w:val="0"/>
      <w:marRight w:val="0"/>
      <w:marTop w:val="0"/>
      <w:marBottom w:val="0"/>
      <w:divBdr>
        <w:top w:val="none" w:sz="0" w:space="0" w:color="auto"/>
        <w:left w:val="none" w:sz="0" w:space="0" w:color="auto"/>
        <w:bottom w:val="none" w:sz="0" w:space="0" w:color="auto"/>
        <w:right w:val="none" w:sz="0" w:space="0" w:color="auto"/>
      </w:divBdr>
    </w:div>
    <w:div w:id="2024934512">
      <w:bodyDiv w:val="1"/>
      <w:marLeft w:val="0"/>
      <w:marRight w:val="0"/>
      <w:marTop w:val="0"/>
      <w:marBottom w:val="0"/>
      <w:divBdr>
        <w:top w:val="none" w:sz="0" w:space="0" w:color="auto"/>
        <w:left w:val="none" w:sz="0" w:space="0" w:color="auto"/>
        <w:bottom w:val="none" w:sz="0" w:space="0" w:color="auto"/>
        <w:right w:val="none" w:sz="0" w:space="0" w:color="auto"/>
      </w:divBdr>
      <w:divsChild>
        <w:div w:id="797645732">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2034762945">
      <w:bodyDiv w:val="1"/>
      <w:marLeft w:val="0"/>
      <w:marRight w:val="0"/>
      <w:marTop w:val="0"/>
      <w:marBottom w:val="0"/>
      <w:divBdr>
        <w:top w:val="none" w:sz="0" w:space="0" w:color="auto"/>
        <w:left w:val="none" w:sz="0" w:space="0" w:color="auto"/>
        <w:bottom w:val="none" w:sz="0" w:space="0" w:color="auto"/>
        <w:right w:val="none" w:sz="0" w:space="0" w:color="auto"/>
      </w:divBdr>
    </w:div>
    <w:div w:id="2039043331">
      <w:bodyDiv w:val="1"/>
      <w:marLeft w:val="0"/>
      <w:marRight w:val="0"/>
      <w:marTop w:val="0"/>
      <w:marBottom w:val="0"/>
      <w:divBdr>
        <w:top w:val="none" w:sz="0" w:space="0" w:color="auto"/>
        <w:left w:val="none" w:sz="0" w:space="0" w:color="auto"/>
        <w:bottom w:val="none" w:sz="0" w:space="0" w:color="auto"/>
        <w:right w:val="none" w:sz="0" w:space="0" w:color="auto"/>
      </w:divBdr>
    </w:div>
    <w:div w:id="2040737774">
      <w:bodyDiv w:val="1"/>
      <w:marLeft w:val="0"/>
      <w:marRight w:val="0"/>
      <w:marTop w:val="0"/>
      <w:marBottom w:val="0"/>
      <w:divBdr>
        <w:top w:val="none" w:sz="0" w:space="0" w:color="auto"/>
        <w:left w:val="none" w:sz="0" w:space="0" w:color="auto"/>
        <w:bottom w:val="none" w:sz="0" w:space="0" w:color="auto"/>
        <w:right w:val="none" w:sz="0" w:space="0" w:color="auto"/>
      </w:divBdr>
    </w:div>
    <w:div w:id="2041318579">
      <w:bodyDiv w:val="1"/>
      <w:marLeft w:val="0"/>
      <w:marRight w:val="0"/>
      <w:marTop w:val="0"/>
      <w:marBottom w:val="0"/>
      <w:divBdr>
        <w:top w:val="none" w:sz="0" w:space="0" w:color="auto"/>
        <w:left w:val="none" w:sz="0" w:space="0" w:color="auto"/>
        <w:bottom w:val="none" w:sz="0" w:space="0" w:color="auto"/>
        <w:right w:val="none" w:sz="0" w:space="0" w:color="auto"/>
      </w:divBdr>
    </w:div>
    <w:div w:id="2082562870">
      <w:bodyDiv w:val="1"/>
      <w:marLeft w:val="0"/>
      <w:marRight w:val="0"/>
      <w:marTop w:val="0"/>
      <w:marBottom w:val="0"/>
      <w:divBdr>
        <w:top w:val="none" w:sz="0" w:space="0" w:color="auto"/>
        <w:left w:val="none" w:sz="0" w:space="0" w:color="auto"/>
        <w:bottom w:val="none" w:sz="0" w:space="0" w:color="auto"/>
        <w:right w:val="none" w:sz="0" w:space="0" w:color="auto"/>
      </w:divBdr>
    </w:div>
    <w:div w:id="2102528180">
      <w:bodyDiv w:val="1"/>
      <w:marLeft w:val="0"/>
      <w:marRight w:val="0"/>
      <w:marTop w:val="0"/>
      <w:marBottom w:val="0"/>
      <w:divBdr>
        <w:top w:val="none" w:sz="0" w:space="0" w:color="auto"/>
        <w:left w:val="none" w:sz="0" w:space="0" w:color="auto"/>
        <w:bottom w:val="none" w:sz="0" w:space="0" w:color="auto"/>
        <w:right w:val="none" w:sz="0" w:space="0" w:color="auto"/>
      </w:divBdr>
    </w:div>
    <w:div w:id="2112578197">
      <w:bodyDiv w:val="1"/>
      <w:marLeft w:val="0"/>
      <w:marRight w:val="0"/>
      <w:marTop w:val="0"/>
      <w:marBottom w:val="0"/>
      <w:divBdr>
        <w:top w:val="none" w:sz="0" w:space="0" w:color="auto"/>
        <w:left w:val="none" w:sz="0" w:space="0" w:color="auto"/>
        <w:bottom w:val="none" w:sz="0" w:space="0" w:color="auto"/>
        <w:right w:val="none" w:sz="0" w:space="0" w:color="auto"/>
      </w:divBdr>
    </w:div>
    <w:div w:id="2113698649">
      <w:bodyDiv w:val="1"/>
      <w:marLeft w:val="0"/>
      <w:marRight w:val="0"/>
      <w:marTop w:val="0"/>
      <w:marBottom w:val="0"/>
      <w:divBdr>
        <w:top w:val="none" w:sz="0" w:space="0" w:color="auto"/>
        <w:left w:val="none" w:sz="0" w:space="0" w:color="auto"/>
        <w:bottom w:val="none" w:sz="0" w:space="0" w:color="auto"/>
        <w:right w:val="none" w:sz="0" w:space="0" w:color="auto"/>
      </w:divBdr>
    </w:div>
    <w:div w:id="2130466735">
      <w:bodyDiv w:val="1"/>
      <w:marLeft w:val="0"/>
      <w:marRight w:val="0"/>
      <w:marTop w:val="0"/>
      <w:marBottom w:val="0"/>
      <w:divBdr>
        <w:top w:val="none" w:sz="0" w:space="0" w:color="auto"/>
        <w:left w:val="none" w:sz="0" w:space="0" w:color="auto"/>
        <w:bottom w:val="none" w:sz="0" w:space="0" w:color="auto"/>
        <w:right w:val="none" w:sz="0" w:space="0" w:color="auto"/>
      </w:divBdr>
    </w:div>
    <w:div w:id="214388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bi.org.in/Scripts/NotificationUser.aspx?Id=12099&amp;Mode=0" TargetMode="External"/><Relationship Id="rId299" Type="http://schemas.openxmlformats.org/officeDocument/2006/relationships/hyperlink" Target="https://www.rbi.org.in/Scripts/NotificationUser.aspx?Id=11441&amp;Mode=0" TargetMode="External"/><Relationship Id="rId303" Type="http://schemas.openxmlformats.org/officeDocument/2006/relationships/hyperlink" Target="https://www.rbi.org.in/Scripts/NotificationUser.aspx?Id=11798&amp;Mode=0" TargetMode="External"/><Relationship Id="rId21" Type="http://schemas.openxmlformats.org/officeDocument/2006/relationships/hyperlink" Target="https://www.rbi.org.in/Scripts/NotificationUser.aspx?Id=12344&amp;Mode=0" TargetMode="External"/><Relationship Id="rId42" Type="http://schemas.openxmlformats.org/officeDocument/2006/relationships/hyperlink" Target="https://www.rbi.org.in/Scripts/NotificationUser.aspx?Id=12002&amp;Mode=0" TargetMode="External"/><Relationship Id="rId63" Type="http://schemas.openxmlformats.org/officeDocument/2006/relationships/hyperlink" Target="https://www.rbi.org.in/Scripts/NotificationUser.aspx?Id=12328&amp;Mode=0" TargetMode="External"/><Relationship Id="rId84" Type="http://schemas.openxmlformats.org/officeDocument/2006/relationships/hyperlink" Target="https://www.rbi.org.in/Scripts/NotificationUser.aspx?Id=11050&amp;Mode=0" TargetMode="External"/><Relationship Id="rId138" Type="http://schemas.openxmlformats.org/officeDocument/2006/relationships/hyperlink" Target="https://www.rbi.org.in/Scripts/NotificationUser.aspx?Id=12290&amp;Mode=0" TargetMode="External"/><Relationship Id="rId159" Type="http://schemas.openxmlformats.org/officeDocument/2006/relationships/hyperlink" Target="https://www.rbi.org.in/Scripts/NotificationUser.aspx?Id=12288&amp;Mode=0" TargetMode="External"/><Relationship Id="rId324" Type="http://schemas.openxmlformats.org/officeDocument/2006/relationships/hyperlink" Target="https://www.rbi.org.in/Scripts/NotificationUser.aspx?Id=9631&amp;Mode=0" TargetMode="External"/><Relationship Id="rId170" Type="http://schemas.openxmlformats.org/officeDocument/2006/relationships/hyperlink" Target="https://www.rbi.org.in/Scripts/BS_ViewMasDirections.aspx?id=12153" TargetMode="External"/><Relationship Id="rId191" Type="http://schemas.openxmlformats.org/officeDocument/2006/relationships/hyperlink" Target="https://www.rbi.org.in/Scripts/NotificationUser.aspx?Id=12282&amp;Mode=0" TargetMode="External"/><Relationship Id="rId205" Type="http://schemas.openxmlformats.org/officeDocument/2006/relationships/hyperlink" Target="https://www.rbi.org.in/Scripts/NotificationUser.aspx?Id=12280&amp;Mode=0" TargetMode="External"/><Relationship Id="rId226" Type="http://schemas.openxmlformats.org/officeDocument/2006/relationships/hyperlink" Target="https://www.rbi.org.in/Scripts/NotificationUser.aspx?Id=12273&amp;Mode=0" TargetMode="External"/><Relationship Id="rId247" Type="http://schemas.openxmlformats.org/officeDocument/2006/relationships/hyperlink" Target="https://www.rbi.org.in/Scripts/NotificationUser.aspx?Id=12267&amp;Mode=0" TargetMode="External"/><Relationship Id="rId107" Type="http://schemas.openxmlformats.org/officeDocument/2006/relationships/hyperlink" Target="https://www.rbi.org.in/Scripts/NotificationUser.aspx?Id=12301&amp;Mode=0" TargetMode="External"/><Relationship Id="rId268" Type="http://schemas.openxmlformats.org/officeDocument/2006/relationships/hyperlink" Target="https://www.rbi.org.in/Scripts/NotificationUser.aspx?Id=12256&amp;Mode=0" TargetMode="External"/><Relationship Id="rId289" Type="http://schemas.openxmlformats.org/officeDocument/2006/relationships/hyperlink" Target="https://www.rbi.org.in/Scripts/NotificationUser.aspx?Id=12230&amp;Mode=0" TargetMode="External"/><Relationship Id="rId11" Type="http://schemas.openxmlformats.org/officeDocument/2006/relationships/hyperlink" Target="https://www.rbi.org.in/Scripts/NotificationUser.aspx?Id=12211&amp;Mode=0" TargetMode="External"/><Relationship Id="rId32" Type="http://schemas.openxmlformats.org/officeDocument/2006/relationships/hyperlink" Target="https://www.rbi.org.in/Scripts/NotificationUser.aspx?Id=12344&amp;Mode=0" TargetMode="External"/><Relationship Id="rId53" Type="http://schemas.openxmlformats.org/officeDocument/2006/relationships/hyperlink" Target="https://www.rbi.org.in/Scripts/NotificationUser.aspx?Id=12335&amp;Mode=0" TargetMode="External"/><Relationship Id="rId74" Type="http://schemas.openxmlformats.org/officeDocument/2006/relationships/hyperlink" Target="https://www.rbi.org.in/Scripts/NotificationUser.aspx?Id=12322&amp;Mode=0" TargetMode="External"/><Relationship Id="rId128" Type="http://schemas.openxmlformats.org/officeDocument/2006/relationships/hyperlink" Target="https://www.rbi.org.in/Scripts/NotificationUser.aspx?Id=12293&amp;Mode=0" TargetMode="External"/><Relationship Id="rId149" Type="http://schemas.openxmlformats.org/officeDocument/2006/relationships/hyperlink" Target="https://www.rbi.org.in/Scripts/NotificationUser.aspx?Id=12288&amp;Mode=0" TargetMode="External"/><Relationship Id="rId314" Type="http://schemas.openxmlformats.org/officeDocument/2006/relationships/hyperlink" Target="https://www.rbi.org.in/Scripts/NotificationUser.aspx?Id=12226&amp;Mode=0" TargetMode="External"/><Relationship Id="rId335" Type="http://schemas.openxmlformats.org/officeDocument/2006/relationships/hyperlink" Target="https://www.rbi.org.in/Scripts/NotificationUser.aspx?Id=11947&amp;Mode=0" TargetMode="External"/><Relationship Id="rId5" Type="http://schemas.openxmlformats.org/officeDocument/2006/relationships/hyperlink" Target="https://www.rbi.org.in/Scripts/BS_ViewMasDirections.aspx?id=12166" TargetMode="External"/><Relationship Id="rId95" Type="http://schemas.openxmlformats.org/officeDocument/2006/relationships/hyperlink" Target="https://www.rbi.org.in/Scripts/NotificationUser.aspx?Id=12179&amp;Mode=0" TargetMode="External"/><Relationship Id="rId160" Type="http://schemas.openxmlformats.org/officeDocument/2006/relationships/hyperlink" Target="https://www.rbi.org.in/Scripts/NotificationUser.aspx?Id=12288&amp;Mode=0" TargetMode="External"/><Relationship Id="rId181" Type="http://schemas.openxmlformats.org/officeDocument/2006/relationships/hyperlink" Target="https://www.rbi.org.in/Scripts/BS_ViewMasCirculardetails.aspx?id=12243" TargetMode="External"/><Relationship Id="rId216" Type="http://schemas.openxmlformats.org/officeDocument/2006/relationships/hyperlink" Target="https://www.rbi.org.in/Scripts/NotificationUser.aspx?Id=12276&amp;Mode=0" TargetMode="External"/><Relationship Id="rId237" Type="http://schemas.openxmlformats.org/officeDocument/2006/relationships/hyperlink" Target="https://www.rbi.org.in/Scripts/NotificationUser.aspx?Id=12270&amp;Mode=0" TargetMode="External"/><Relationship Id="rId258" Type="http://schemas.openxmlformats.org/officeDocument/2006/relationships/hyperlink" Target="https://www.rbi.org.in/Scripts/NotificationUser.aspx?Id=12263&amp;Mode=0" TargetMode="External"/><Relationship Id="rId279" Type="http://schemas.openxmlformats.org/officeDocument/2006/relationships/hyperlink" Target="https://www.rbi.org.in/Scripts/BS_ViewMasCirculardetails.aspx?id=9851" TargetMode="External"/><Relationship Id="rId22" Type="http://schemas.openxmlformats.org/officeDocument/2006/relationships/hyperlink" Target="https://www.rbi.org.in/Scripts/NotificationUser.aspx?Id=12344&amp;Mode=0" TargetMode="External"/><Relationship Id="rId43" Type="http://schemas.openxmlformats.org/officeDocument/2006/relationships/hyperlink" Target="https://www.rbi.org.in/Scripts/NotificationUser.aspx?Id=12051&amp;Mode=0" TargetMode="External"/><Relationship Id="rId64" Type="http://schemas.openxmlformats.org/officeDocument/2006/relationships/hyperlink" Target="https://www.rbi.org.in/Scripts/NotificationUser.aspx?Id=12328&amp;Mode=0" TargetMode="External"/><Relationship Id="rId118" Type="http://schemas.openxmlformats.org/officeDocument/2006/relationships/hyperlink" Target="https://www.rbi.org.in/Scripts/NotificationUser.aspx?Id=11849&amp;Mode=0" TargetMode="External"/><Relationship Id="rId139" Type="http://schemas.openxmlformats.org/officeDocument/2006/relationships/hyperlink" Target="https://www.rbi.org.in/Scripts/NotificationUser.aspx?Id=12290&amp;Mode=0" TargetMode="External"/><Relationship Id="rId290" Type="http://schemas.openxmlformats.org/officeDocument/2006/relationships/hyperlink" Target="https://www.rbi.org.in/Scripts/BS_PressReleaseDisplay.aspx?prid=53248" TargetMode="External"/><Relationship Id="rId304" Type="http://schemas.openxmlformats.org/officeDocument/2006/relationships/hyperlink" Target="https://www.rbi.org.in/Scripts/NotificationUser.aspx?Id=12228&amp;Mode=0" TargetMode="External"/><Relationship Id="rId325" Type="http://schemas.openxmlformats.org/officeDocument/2006/relationships/hyperlink" Target="https://www.rbi.org.in/Scripts/NotificationUser.aspx?Id=11981&amp;Mode=0" TargetMode="External"/><Relationship Id="rId85" Type="http://schemas.openxmlformats.org/officeDocument/2006/relationships/hyperlink" Target="https://www.rbi.org.in/Scripts/NotificationUser.aspx?Id=12319&amp;Mode=0" TargetMode="External"/><Relationship Id="rId150" Type="http://schemas.openxmlformats.org/officeDocument/2006/relationships/hyperlink" Target="https://www.rbi.org.in/Scripts/NotificationUser.aspx?Id=12288&amp;Mode=0" TargetMode="External"/><Relationship Id="rId171" Type="http://schemas.openxmlformats.org/officeDocument/2006/relationships/hyperlink" Target="https://www.rbi.org.in/Scripts/NotificationUser.aspx?Id=12287&amp;Mode=0" TargetMode="External"/><Relationship Id="rId192" Type="http://schemas.openxmlformats.org/officeDocument/2006/relationships/hyperlink" Target="https://www.rbi.org.in/Scripts/NotificationUser.aspx?Id=12282&amp;Mode=0" TargetMode="External"/><Relationship Id="rId206" Type="http://schemas.openxmlformats.org/officeDocument/2006/relationships/hyperlink" Target="https://www.rbi.org.in/Scripts/NotificationUser.aspx?Id=12280&amp;Mode=0" TargetMode="External"/><Relationship Id="rId227" Type="http://schemas.openxmlformats.org/officeDocument/2006/relationships/hyperlink" Target="https://www.rbi.org.in/" TargetMode="External"/><Relationship Id="rId248" Type="http://schemas.openxmlformats.org/officeDocument/2006/relationships/hyperlink" Target="https://www.rbi.org.in/Scripts/NotificationUser.aspx?Id=12266&amp;Mode=0" TargetMode="External"/><Relationship Id="rId269" Type="http://schemas.openxmlformats.org/officeDocument/2006/relationships/hyperlink" Target="https://www.rbi.org.in/Scripts/NotificationUser.aspx?Id=12256&amp;Mode=0" TargetMode="External"/><Relationship Id="rId12" Type="http://schemas.openxmlformats.org/officeDocument/2006/relationships/hyperlink" Target="https://www.rbi.org.in/Scripts/NotificationUser.aspx?Id=12345&amp;Mode=0" TargetMode="External"/><Relationship Id="rId33" Type="http://schemas.openxmlformats.org/officeDocument/2006/relationships/hyperlink" Target="https://www.rbi.org.in/Scripts/NotificationUser.aspx?Id=12344&amp;Mode=0" TargetMode="External"/><Relationship Id="rId108" Type="http://schemas.openxmlformats.org/officeDocument/2006/relationships/hyperlink" Target="https://www.rbi.org.in/Scripts/NotificationUser.aspx?Id=12300&amp;Mode=0" TargetMode="External"/><Relationship Id="rId129" Type="http://schemas.openxmlformats.org/officeDocument/2006/relationships/hyperlink" Target="https://www.rbi.org.in/Scripts/NotificationUser.aspx?Id=12293&amp;Mode=0" TargetMode="External"/><Relationship Id="rId280" Type="http://schemas.openxmlformats.org/officeDocument/2006/relationships/hyperlink" Target="https://www.rbi.org.in/Scripts/NotificationUser.aspx?Id=12243&amp;Mode=0" TargetMode="External"/><Relationship Id="rId315" Type="http://schemas.openxmlformats.org/officeDocument/2006/relationships/hyperlink" Target="https://www.rbi.org.in/Scripts/NotificationUser.aspx?Id=12226&amp;Mode=0" TargetMode="External"/><Relationship Id="rId336" Type="http://schemas.openxmlformats.org/officeDocument/2006/relationships/hyperlink" Target="https://www.rbi.org.in/Scripts/BS_PressReleaseDisplay.aspx?prid=52368" TargetMode="External"/><Relationship Id="rId54" Type="http://schemas.openxmlformats.org/officeDocument/2006/relationships/hyperlink" Target="https://www.rbi.org.in/Scripts/NotificationUser.aspx?Id=12335&amp;Mode=0" TargetMode="External"/><Relationship Id="rId75" Type="http://schemas.openxmlformats.org/officeDocument/2006/relationships/hyperlink" Target="https://www.rbi.org.in/Scripts/BS_PressReleaseDisplay.aspx?prid=53536" TargetMode="External"/><Relationship Id="rId96" Type="http://schemas.openxmlformats.org/officeDocument/2006/relationships/hyperlink" Target="https://www.rbi.org.in/Scripts/NotificationUser.aspx?Id=12303&amp;Mode=0" TargetMode="External"/><Relationship Id="rId140" Type="http://schemas.openxmlformats.org/officeDocument/2006/relationships/hyperlink" Target="https://www.rbi.org.in/Scripts/NotificationUser.aspx?Id=12290&amp;Mode=0" TargetMode="External"/><Relationship Id="rId161" Type="http://schemas.openxmlformats.org/officeDocument/2006/relationships/hyperlink" Target="https://www.rbi.org.in/Scripts/NotificationUser.aspx?Id=12288&amp;Mode=0" TargetMode="External"/><Relationship Id="rId182" Type="http://schemas.openxmlformats.org/officeDocument/2006/relationships/hyperlink" Target="https://www.rbi.org.in/Scripts/NotificationUser.aspx?Id=12282&amp;Mode=0" TargetMode="External"/><Relationship Id="rId217" Type="http://schemas.openxmlformats.org/officeDocument/2006/relationships/hyperlink" Target="https://www.rbi.org.in/Scripts/BS_ViewMasCirculardetails.aspx?id=12059" TargetMode="External"/><Relationship Id="rId6" Type="http://schemas.openxmlformats.org/officeDocument/2006/relationships/hyperlink" Target="https://www.rbi.org.in/Scripts/NotificationUser.aspx?Id=10588&amp;Mode=0" TargetMode="External"/><Relationship Id="rId238" Type="http://schemas.openxmlformats.org/officeDocument/2006/relationships/hyperlink" Target="https://www.rbi.org.in/Scripts/NotificationUser.aspx?Id=12270&amp;Mode=0" TargetMode="External"/><Relationship Id="rId259" Type="http://schemas.openxmlformats.org/officeDocument/2006/relationships/hyperlink" Target="https://www.rbi.org.in/Scripts/NotificationUser.aspx?Id=12262&amp;Mode=0" TargetMode="External"/><Relationship Id="rId23" Type="http://schemas.openxmlformats.org/officeDocument/2006/relationships/hyperlink" Target="https://www.rbi.org.in/Scripts/NotificationUser.aspx?Id=12344&amp;Mode=0" TargetMode="External"/><Relationship Id="rId119" Type="http://schemas.openxmlformats.org/officeDocument/2006/relationships/hyperlink" Target="https://www.rbi.org.in/Scripts/NotificationUser.aspx?Id=11850&amp;Mode=0" TargetMode="External"/><Relationship Id="rId270" Type="http://schemas.openxmlformats.org/officeDocument/2006/relationships/hyperlink" Target="https://www.rbi.org.in/Scripts/NotificationUser.aspx?Id=12124&amp;Mode=0" TargetMode="External"/><Relationship Id="rId291" Type="http://schemas.openxmlformats.org/officeDocument/2006/relationships/hyperlink" Target="https://www.rbi.org.in/Scripts/BS_PressReleaseDisplay.aspx?prid=53247" TargetMode="External"/><Relationship Id="rId305" Type="http://schemas.openxmlformats.org/officeDocument/2006/relationships/hyperlink" Target="https://www.rbi.org.in/Scripts/NotificationUser.aspx?Id=12228&amp;Mode=0" TargetMode="External"/><Relationship Id="rId326" Type="http://schemas.openxmlformats.org/officeDocument/2006/relationships/hyperlink" Target="https://www.rbi.org.in/Scripts/NotificationUser.aspx?Id=11278&amp;Mode=0" TargetMode="External"/><Relationship Id="rId44" Type="http://schemas.openxmlformats.org/officeDocument/2006/relationships/hyperlink" Target="https://www.rbi.org.in/Scripts/NotificationUser.aspx?Id=12341&amp;Mode=0" TargetMode="External"/><Relationship Id="rId65" Type="http://schemas.openxmlformats.org/officeDocument/2006/relationships/hyperlink" Target="https://www.rbi.org.in/Scripts/NotificationUser.aspx?Id=12327&amp;Mode=0" TargetMode="External"/><Relationship Id="rId86" Type="http://schemas.openxmlformats.org/officeDocument/2006/relationships/hyperlink" Target="https://www.rbi.org.in/Scripts/NotificationUser.aspx?Id=11462&amp;Mode=0" TargetMode="External"/><Relationship Id="rId130" Type="http://schemas.openxmlformats.org/officeDocument/2006/relationships/hyperlink" Target="https://www.rbi.org.in/Scripts/NotificationUser.aspx?Id=12293&amp;Mode=0" TargetMode="External"/><Relationship Id="rId151" Type="http://schemas.openxmlformats.org/officeDocument/2006/relationships/hyperlink" Target="https://www.rbi.org.in/Scripts/NotificationUser.aspx?Id=12288&amp;Mode=0" TargetMode="External"/><Relationship Id="rId172" Type="http://schemas.openxmlformats.org/officeDocument/2006/relationships/hyperlink" Target="https://rbi.org.in/Scripts/NotificationUser.aspx?Id=11984&amp;Mode=0" TargetMode="External"/><Relationship Id="rId193" Type="http://schemas.openxmlformats.org/officeDocument/2006/relationships/hyperlink" Target="https://www.rbi.org.in/Scripts/NotificationUser.aspx?Id=12282&amp;Mode=0" TargetMode="External"/><Relationship Id="rId207" Type="http://schemas.openxmlformats.org/officeDocument/2006/relationships/hyperlink" Target="https://www.rbi.org.in/Scripts/BS_ViewMasCirculardetails.aspx?id=9859" TargetMode="External"/><Relationship Id="rId228" Type="http://schemas.openxmlformats.org/officeDocument/2006/relationships/hyperlink" Target="https://www.rbi.org.in/Scripts/NotificationUser.aspx?Id=12273&amp;Mode=0" TargetMode="External"/><Relationship Id="rId249" Type="http://schemas.openxmlformats.org/officeDocument/2006/relationships/hyperlink" Target="https://www.rbi.org.in/Scripts/NotificationUser.aspx?Id=12266&amp;Mode=0" TargetMode="External"/><Relationship Id="rId13" Type="http://schemas.openxmlformats.org/officeDocument/2006/relationships/hyperlink" Target="https://rbi.org.in/Scripts/BS_ViewMasCirculardetails.aspx?id=9814" TargetMode="External"/><Relationship Id="rId109" Type="http://schemas.openxmlformats.org/officeDocument/2006/relationships/hyperlink" Target="https://www.rbi.org.in/Scripts/NotificationUser.aspx?Id=12299&amp;Mode=0" TargetMode="External"/><Relationship Id="rId260" Type="http://schemas.openxmlformats.org/officeDocument/2006/relationships/hyperlink" Target="https://rbi.org.in/Scripts/BS_PressReleaseDisplay.aspx?prid=52368" TargetMode="External"/><Relationship Id="rId281" Type="http://schemas.openxmlformats.org/officeDocument/2006/relationships/hyperlink" Target="https://www.rbi.org.in/Scripts/NotificationUser.aspx?Id=12243&amp;Mode=0" TargetMode="External"/><Relationship Id="rId316" Type="http://schemas.openxmlformats.org/officeDocument/2006/relationships/hyperlink" Target="https://www.rbi.org.in/Scripts/NotificationUser.aspx?Id=12225&amp;Mode=0" TargetMode="External"/><Relationship Id="rId337" Type="http://schemas.openxmlformats.org/officeDocument/2006/relationships/hyperlink" Target="https://www.rbi.org.in/Scripts/NotificationUser.aspx?Id=12215&amp;Mode=0" TargetMode="External"/><Relationship Id="rId34" Type="http://schemas.openxmlformats.org/officeDocument/2006/relationships/hyperlink" Target="https://www.rbi.org.in/Scripts/NotificationUser.aspx?Id=12344&amp;Mode=0" TargetMode="External"/><Relationship Id="rId55" Type="http://schemas.openxmlformats.org/officeDocument/2006/relationships/hyperlink" Target="https://www.rbi.org.in/Scripts/NotificationUser.aspx?Id=12334&amp;Mode=0" TargetMode="External"/><Relationship Id="rId76" Type="http://schemas.openxmlformats.org/officeDocument/2006/relationships/hyperlink" Target="https://www.rbi.org.in/scripts/NotificationUser.aspx?Id=12111" TargetMode="External"/><Relationship Id="rId97" Type="http://schemas.openxmlformats.org/officeDocument/2006/relationships/hyperlink" Target="https://www.rbi.org.in/Scripts/NotificationUser.aspx?Id=12303&amp;Mode=0" TargetMode="External"/><Relationship Id="rId120" Type="http://schemas.openxmlformats.org/officeDocument/2006/relationships/hyperlink" Target="https://www.rbi.org.in/Scripts/NotificationUser.aspx?Id=12102&amp;Mode=0" TargetMode="External"/><Relationship Id="rId141" Type="http://schemas.openxmlformats.org/officeDocument/2006/relationships/hyperlink" Target="https://www.rbi.org.in/Scripts/NotificationUser.aspx?Id=11427&amp;Mode=0" TargetMode="External"/><Relationship Id="rId7" Type="http://schemas.openxmlformats.org/officeDocument/2006/relationships/hyperlink" Target="https://www.rbi.org.in/Scripts/NotificationUser.aspx?Id=12346&amp;Mode=0" TargetMode="External"/><Relationship Id="rId162" Type="http://schemas.openxmlformats.org/officeDocument/2006/relationships/hyperlink" Target="https://www.rbi.org.in/Scripts/NotificationUser.aspx?Id=12288&amp;Mode=0" TargetMode="External"/><Relationship Id="rId183" Type="http://schemas.openxmlformats.org/officeDocument/2006/relationships/hyperlink" Target="https://www.rbi.org.in/Scripts/NotificationUser.aspx?Id=12282&amp;Mode=0" TargetMode="External"/><Relationship Id="rId218" Type="http://schemas.openxmlformats.org/officeDocument/2006/relationships/hyperlink" Target="https://www.rbi.org.in/Scripts/NotificationUser.aspx?Id=12275&amp;Mode=0" TargetMode="External"/><Relationship Id="rId239" Type="http://schemas.openxmlformats.org/officeDocument/2006/relationships/hyperlink" Target="https://www.rbi.org.in/Scripts/NotificationUser.aspx?Id=12269&amp;Mode=0" TargetMode="External"/><Relationship Id="rId250" Type="http://schemas.openxmlformats.org/officeDocument/2006/relationships/hyperlink" Target="https://www.rbi.org.in/Scripts/NotificationUser.aspx?Id=12266&amp;Mode=0" TargetMode="External"/><Relationship Id="rId271" Type="http://schemas.openxmlformats.org/officeDocument/2006/relationships/hyperlink" Target="https://www.rbi.org.in/Scripts/NotificationUser.aspx?Id=12252&amp;Mode=0" TargetMode="External"/><Relationship Id="rId292" Type="http://schemas.openxmlformats.org/officeDocument/2006/relationships/hyperlink" Target="https://www.rbi.org.in/Scripts/NotificationUser.aspx?Id=11602&amp;Mode=0" TargetMode="External"/><Relationship Id="rId306" Type="http://schemas.openxmlformats.org/officeDocument/2006/relationships/hyperlink" Target="https://www.rbi.org.in/Scripts/NotificationUser.aspx?Id=12099&amp;Mode=0" TargetMode="External"/><Relationship Id="rId24" Type="http://schemas.openxmlformats.org/officeDocument/2006/relationships/hyperlink" Target="https://www.rbi.org.in/Scripts/NotificationUser.aspx?Id=12344&amp;Mode=0" TargetMode="External"/><Relationship Id="rId45" Type="http://schemas.openxmlformats.org/officeDocument/2006/relationships/hyperlink" Target="https://www.rbi.org.in/Scripts/NotificationUser.aspx?Id=6784&amp;Mode=0" TargetMode="External"/><Relationship Id="rId66" Type="http://schemas.openxmlformats.org/officeDocument/2006/relationships/hyperlink" Target="https://www.rbi.org.in/Scripts/NotificationUser.aspx?Id=12325&amp;Mode=0" TargetMode="External"/><Relationship Id="rId87" Type="http://schemas.openxmlformats.org/officeDocument/2006/relationships/hyperlink" Target="https://www.rbi.org.in/Scripts/NotificationUser.aspx?Id=12318&amp;Mode=0" TargetMode="External"/><Relationship Id="rId110" Type="http://schemas.openxmlformats.org/officeDocument/2006/relationships/hyperlink" Target="https://www.rbi.org.in/Scripts/NotificationUser.aspx?Id=12179&amp;Mode=0" TargetMode="External"/><Relationship Id="rId131" Type="http://schemas.openxmlformats.org/officeDocument/2006/relationships/hyperlink" Target="https://www.rbi.org.in/Scripts/NotificationUser.aspx?Id=12179&amp;Mode=0" TargetMode="External"/><Relationship Id="rId327" Type="http://schemas.openxmlformats.org/officeDocument/2006/relationships/hyperlink" Target="https://www.rbi.org.in/Scripts/NotificationUser.aspx?Id=12220&amp;Mode=0" TargetMode="External"/><Relationship Id="rId152" Type="http://schemas.openxmlformats.org/officeDocument/2006/relationships/hyperlink" Target="https://www.rbi.org.in/Scripts/NotificationUser.aspx?Id=12288&amp;Mode=0" TargetMode="External"/><Relationship Id="rId173" Type="http://schemas.openxmlformats.org/officeDocument/2006/relationships/hyperlink" Target="https://rbi.org.in/Scripts/NotificationUser.aspx?Id=11984&amp;Mode=0" TargetMode="External"/><Relationship Id="rId194" Type="http://schemas.openxmlformats.org/officeDocument/2006/relationships/hyperlink" Target="https://www.rbi.org.in/Scripts/NotificationUser.aspx?Id=12282&amp;Mode=0" TargetMode="External"/><Relationship Id="rId208" Type="http://schemas.openxmlformats.org/officeDocument/2006/relationships/hyperlink" Target="https://rbidocs.rbi.org.in/rdocs/content/pdfs/12MCBaselIII05042022_A.pdf" TargetMode="External"/><Relationship Id="rId229" Type="http://schemas.openxmlformats.org/officeDocument/2006/relationships/hyperlink" Target="https://www.rbi.org.in/Scripts/BS_ViewMasCirculardetails.aspx?id=12187" TargetMode="External"/><Relationship Id="rId240" Type="http://schemas.openxmlformats.org/officeDocument/2006/relationships/hyperlink" Target="https://www.rbi.org.in/Scripts/NotificationUser.aspx?Id=12269&amp;Mode=0" TargetMode="External"/><Relationship Id="rId261" Type="http://schemas.openxmlformats.org/officeDocument/2006/relationships/hyperlink" Target="https://www.rbi.org.in/Scripts/NotificationUser.aspx?Id=12260&amp;Mode=0" TargetMode="External"/><Relationship Id="rId14" Type="http://schemas.openxmlformats.org/officeDocument/2006/relationships/hyperlink" Target="https://www.rbi.org.in/" TargetMode="External"/><Relationship Id="rId35" Type="http://schemas.openxmlformats.org/officeDocument/2006/relationships/hyperlink" Target="https://www.rbi.org.in/Scripts/NotificationUser.aspx?Id=12344&amp;Mode=0" TargetMode="External"/><Relationship Id="rId56" Type="http://schemas.openxmlformats.org/officeDocument/2006/relationships/hyperlink" Target="https://www.rbi.org.in/Scripts/BS_ViewMasDirections.aspx?id=10425" TargetMode="External"/><Relationship Id="rId77" Type="http://schemas.openxmlformats.org/officeDocument/2006/relationships/hyperlink" Target="https://www.rbi.org.in/Scripts/NotificationUser.aspx?Id=11693" TargetMode="External"/><Relationship Id="rId100" Type="http://schemas.openxmlformats.org/officeDocument/2006/relationships/hyperlink" Target="https://www.rbi.org.in/Scripts/NotificationUser.aspx?Id=12303&amp;Mode=0" TargetMode="External"/><Relationship Id="rId282" Type="http://schemas.openxmlformats.org/officeDocument/2006/relationships/hyperlink" Target="https://rbi.org.in/Scripts/NotificationUser.aspx?Id=12122&amp;Mode=0" TargetMode="External"/><Relationship Id="rId317" Type="http://schemas.openxmlformats.org/officeDocument/2006/relationships/hyperlink" Target="https://www.rbi.org.in/Scripts/NotificationUser.aspx?Id=1145&amp;Mode=0" TargetMode="External"/><Relationship Id="rId338" Type="http://schemas.openxmlformats.org/officeDocument/2006/relationships/hyperlink" Target="https://www.rbi.org.in/Scripts/NotificationUser.aspx?Id=12215&amp;Mode=0" TargetMode="External"/><Relationship Id="rId8" Type="http://schemas.openxmlformats.org/officeDocument/2006/relationships/hyperlink" Target="https://www.rbi.org.in/Scripts/NotificationUser.aspx?Id=11822&amp;Mode=0" TargetMode="External"/><Relationship Id="rId98" Type="http://schemas.openxmlformats.org/officeDocument/2006/relationships/hyperlink" Target="https://www.rbi.org.in/Scripts/NotificationUser.aspx?Id=12303&amp;Mode=0" TargetMode="External"/><Relationship Id="rId121" Type="http://schemas.openxmlformats.org/officeDocument/2006/relationships/hyperlink" Target="https://www.rbi.org.in/Scripts/NotificationUser.aspx?Id=12227&amp;Mode=0" TargetMode="External"/><Relationship Id="rId142" Type="http://schemas.openxmlformats.org/officeDocument/2006/relationships/hyperlink" Target="https://www.rbi.org.in/Scripts/BS_PressReleaseDisplay.aspx?prid=53536" TargetMode="External"/><Relationship Id="rId163" Type="http://schemas.openxmlformats.org/officeDocument/2006/relationships/hyperlink" Target="https://www.rbi.org.in/Scripts/NotificationUser.aspx?Id=12288&amp;Mode=0" TargetMode="External"/><Relationship Id="rId184" Type="http://schemas.openxmlformats.org/officeDocument/2006/relationships/hyperlink" Target="https://www.rbi.org.in/Scripts/NotificationUser.aspx?Id=12282&amp;Mode=0" TargetMode="External"/><Relationship Id="rId219" Type="http://schemas.openxmlformats.org/officeDocument/2006/relationships/hyperlink" Target="https://mastercirculars.rbi.org.in/" TargetMode="External"/><Relationship Id="rId3" Type="http://schemas.openxmlformats.org/officeDocument/2006/relationships/settings" Target="settings.xml"/><Relationship Id="rId214" Type="http://schemas.openxmlformats.org/officeDocument/2006/relationships/hyperlink" Target="https://www.rbi.org.in/Scripts/BS_ViewMasCirculardetails.aspx?id=12189" TargetMode="External"/><Relationship Id="rId230" Type="http://schemas.openxmlformats.org/officeDocument/2006/relationships/hyperlink" Target="https://www.rbi.org.in/" TargetMode="External"/><Relationship Id="rId235" Type="http://schemas.openxmlformats.org/officeDocument/2006/relationships/hyperlink" Target="https://www.rbi.org.in/Scripts/NotificationUser.aspx?Id=12271&amp;Mode=0" TargetMode="External"/><Relationship Id="rId251" Type="http://schemas.openxmlformats.org/officeDocument/2006/relationships/hyperlink" Target="https://www.rbi.org.in/Scripts/BS_ViewMasCirculardetails.aspx?id=12052" TargetMode="External"/><Relationship Id="rId256" Type="http://schemas.openxmlformats.org/officeDocument/2006/relationships/hyperlink" Target="https://www.rbi.org.in/Scripts/NotificationUser.aspx?Id=11256&amp;Mode=0" TargetMode="External"/><Relationship Id="rId277" Type="http://schemas.openxmlformats.org/officeDocument/2006/relationships/hyperlink" Target="https://www.rbi.org.in/Scripts/NotificationUser.aspx?Id=12247&amp;Mode=0" TargetMode="External"/><Relationship Id="rId298" Type="http://schemas.openxmlformats.org/officeDocument/2006/relationships/hyperlink" Target="https://www.rbi.org.in/Scripts/BS_FemaNotifications.aspx?Id=155" TargetMode="External"/><Relationship Id="rId25" Type="http://schemas.openxmlformats.org/officeDocument/2006/relationships/hyperlink" Target="https://www.rbi.org.in/Scripts/NotificationUser.aspx?Id=12344&amp;Mode=0" TargetMode="External"/><Relationship Id="rId46" Type="http://schemas.openxmlformats.org/officeDocument/2006/relationships/hyperlink" Target="https://www.rbi.org.in/Scripts/BS_PressReleaseDisplay.aspx?prid=53831" TargetMode="External"/><Relationship Id="rId67" Type="http://schemas.openxmlformats.org/officeDocument/2006/relationships/hyperlink" Target="https://www.rbi.org.in/Scripts/BS_ViewMasDirections.aspx?id=10201" TargetMode="External"/><Relationship Id="rId116" Type="http://schemas.openxmlformats.org/officeDocument/2006/relationships/hyperlink" Target="https://www.rbi.org.in/Scripts/NotificationUser.aspx?Id=12296&amp;Mode=0" TargetMode="External"/><Relationship Id="rId137" Type="http://schemas.openxmlformats.org/officeDocument/2006/relationships/hyperlink" Target="https://www.rbi.org.in/Scripts/NotificationUser.aspx?Id=12290&amp;Mode=0" TargetMode="External"/><Relationship Id="rId158" Type="http://schemas.openxmlformats.org/officeDocument/2006/relationships/hyperlink" Target="https://www.rbi.org.in/Scripts/NotificationUser.aspx?Id=12288&amp;Mode=0" TargetMode="External"/><Relationship Id="rId272" Type="http://schemas.openxmlformats.org/officeDocument/2006/relationships/hyperlink" Target="https://www.rbi.org.in/Scripts/NotificationUser.aspx?Id=12252&amp;Mode=0" TargetMode="External"/><Relationship Id="rId293" Type="http://schemas.openxmlformats.org/officeDocument/2006/relationships/hyperlink" Target="https://www.rbi.org.in/Scripts/NotificationUser.aspx?Id=11602&amp;Mode=0" TargetMode="External"/><Relationship Id="rId302" Type="http://schemas.openxmlformats.org/officeDocument/2006/relationships/hyperlink" Target="https://www.rbi.org.in/Scripts/NotificationUser.aspx?Id=11561&amp;Mode=0" TargetMode="External"/><Relationship Id="rId307" Type="http://schemas.openxmlformats.org/officeDocument/2006/relationships/hyperlink" Target="https://www.rbi.org.in/Scripts/NotificationUser.aspx?Id=11303&amp;Mode=0" TargetMode="External"/><Relationship Id="rId323" Type="http://schemas.openxmlformats.org/officeDocument/2006/relationships/hyperlink" Target="https://www.rbi.org.in/Scripts/NotificationUser.aspx?Id=11278&amp;Mode=0" TargetMode="External"/><Relationship Id="rId328" Type="http://schemas.openxmlformats.org/officeDocument/2006/relationships/hyperlink" Target="https://www.rbi.org.in/Scripts/NotificationUser.aspx?Id=12220&amp;Mode=0" TargetMode="External"/><Relationship Id="rId20" Type="http://schemas.openxmlformats.org/officeDocument/2006/relationships/hyperlink" Target="https://www.rbi.org.in/Scripts/NotificationUser.aspx?Id=12344&amp;Mode=0" TargetMode="External"/><Relationship Id="rId41" Type="http://schemas.openxmlformats.org/officeDocument/2006/relationships/hyperlink" Target="https://www.rbi.org.in/Scripts/NotificationUser.aspx?Id=11784&amp;Mode=0" TargetMode="External"/><Relationship Id="rId62" Type="http://schemas.openxmlformats.org/officeDocument/2006/relationships/hyperlink" Target="https://rbi.org.in/Scripts/BS_PressReleaseDisplay.aspx?prid=50322" TargetMode="External"/><Relationship Id="rId83" Type="http://schemas.openxmlformats.org/officeDocument/2006/relationships/hyperlink" Target="https://rbidocs.rbi.org.in/rdocs/content/pdfs/IndianGazzate02072020.pdf" TargetMode="External"/><Relationship Id="rId88" Type="http://schemas.openxmlformats.org/officeDocument/2006/relationships/hyperlink" Target="https://www.rbi.org.in/Scripts/BS_ViewMasDirections.aspx?id=11959" TargetMode="External"/><Relationship Id="rId111" Type="http://schemas.openxmlformats.org/officeDocument/2006/relationships/hyperlink" Target="https://www.rbi.org.in/Scripts/NotificationUser.aspx?Id=12298&amp;Mode=0" TargetMode="External"/><Relationship Id="rId132" Type="http://schemas.openxmlformats.org/officeDocument/2006/relationships/hyperlink" Target="https://rbidocs.rbi.org.in/rdocs/content/pdfs/NOTI26_AN.pdf" TargetMode="External"/><Relationship Id="rId153" Type="http://schemas.openxmlformats.org/officeDocument/2006/relationships/hyperlink" Target="https://www.rbi.org.in/Scripts/NotificationUser.aspx?Id=12288&amp;Mode=0" TargetMode="External"/><Relationship Id="rId174" Type="http://schemas.openxmlformats.org/officeDocument/2006/relationships/hyperlink" Target="https://www.rbi.org.in/Scripts/NotificationUser.aspx?Id=12286&amp;Mode=0" TargetMode="External"/><Relationship Id="rId179" Type="http://schemas.openxmlformats.org/officeDocument/2006/relationships/hyperlink" Target="https://www.rbi.org.in/Scripts/NotificationUser.aspx?Id=12283&amp;Mode=0" TargetMode="External"/><Relationship Id="rId195" Type="http://schemas.openxmlformats.org/officeDocument/2006/relationships/hyperlink" Target="https://www.rbi.org.in/Scripts/NotificationUser.aspx?Id=12282&amp;Mode=0" TargetMode="External"/><Relationship Id="rId209" Type="http://schemas.openxmlformats.org/officeDocument/2006/relationships/hyperlink" Target="https://www.rbi.org.in/Scripts/NotificationUser.aspx?Id=12278&amp;Mode=0" TargetMode="External"/><Relationship Id="rId190" Type="http://schemas.openxmlformats.org/officeDocument/2006/relationships/hyperlink" Target="https://www.rbi.org.in/Scripts/NotificationUser.aspx?Id=12282&amp;Mode=0" TargetMode="External"/><Relationship Id="rId204" Type="http://schemas.openxmlformats.org/officeDocument/2006/relationships/hyperlink" Target="https://www.rbi.org.in/Scripts/BS_ViewMasCirculardetails.aspx?id=12218" TargetMode="External"/><Relationship Id="rId220" Type="http://schemas.openxmlformats.org/officeDocument/2006/relationships/hyperlink" Target="https://www.rbi.org.in/Scripts/NotificationUser.aspx?Id=12275&amp;Mode=0" TargetMode="External"/><Relationship Id="rId225" Type="http://schemas.openxmlformats.org/officeDocument/2006/relationships/hyperlink" Target="https://rbi.org.in/Scripts/BS_ViewMasCirculardetails.aspx?id=12053" TargetMode="External"/><Relationship Id="rId241" Type="http://schemas.openxmlformats.org/officeDocument/2006/relationships/hyperlink" Target="https://www.rbi.org.in/Scripts/BS_ViewMasCirculardetails.aspx?id=12054" TargetMode="External"/><Relationship Id="rId246" Type="http://schemas.openxmlformats.org/officeDocument/2006/relationships/hyperlink" Target="https://www.rbi.org.in/Scripts/NotificationUser.aspx?Id=12267&amp;Mode=0" TargetMode="External"/><Relationship Id="rId267" Type="http://schemas.openxmlformats.org/officeDocument/2006/relationships/hyperlink" Target="https://rbi.org.in/Scripts/BS_PressReleaseDisplay.aspx?prid=51725" TargetMode="External"/><Relationship Id="rId288" Type="http://schemas.openxmlformats.org/officeDocument/2006/relationships/hyperlink" Target="https://www.rbi.org.in/Scripts/NotificationUser.aspx?Id=12230&amp;Mode=0" TargetMode="External"/><Relationship Id="rId15" Type="http://schemas.openxmlformats.org/officeDocument/2006/relationships/hyperlink" Target="https://www.rbi.org.in/Scripts/NotificationUser.aspx?Id=12344&amp;Mode=0" TargetMode="External"/><Relationship Id="rId36" Type="http://schemas.openxmlformats.org/officeDocument/2006/relationships/hyperlink" Target="https://www.rbi.org.in/Scripts/NotificationUser.aspx?Id=12344&amp;Mode=0" TargetMode="External"/><Relationship Id="rId57" Type="http://schemas.openxmlformats.org/officeDocument/2006/relationships/hyperlink" Target="https://www.rbi.org.in/Scripts/NotificationUser.aspx?Id=12330&amp;Mode=0" TargetMode="External"/><Relationship Id="rId106" Type="http://schemas.openxmlformats.org/officeDocument/2006/relationships/hyperlink" Target="https://www.rbi.org.in/Scripts/NotificationUser.aspx?Id=12301&amp;Mode=0" TargetMode="External"/><Relationship Id="rId127" Type="http://schemas.openxmlformats.org/officeDocument/2006/relationships/hyperlink" Target="https://www.rbi.org.in/Scripts/NotificationUser.aspx?Id=11945&amp;Mode=0" TargetMode="External"/><Relationship Id="rId262" Type="http://schemas.openxmlformats.org/officeDocument/2006/relationships/hyperlink" Target="https://www.rbi.org.in/Scripts/NotificationUser.aspx?Id=12260&amp;Mode=0" TargetMode="External"/><Relationship Id="rId283" Type="http://schemas.openxmlformats.org/officeDocument/2006/relationships/hyperlink" Target="https://rbidocs.rbi.org.in/rdocs/content/pdfs/GOIJan192022_18022022.pdf" TargetMode="External"/><Relationship Id="rId313" Type="http://schemas.openxmlformats.org/officeDocument/2006/relationships/hyperlink" Target="https://rbi.org.in/Scripts/BS_PressReleaseDisplay.aspx?prid=51138" TargetMode="External"/><Relationship Id="rId318" Type="http://schemas.openxmlformats.org/officeDocument/2006/relationships/hyperlink" Target="https://www.rbi.org.in/Scripts/NotificationUser.aspx?Id=12225&amp;Mode=0" TargetMode="External"/><Relationship Id="rId339" Type="http://schemas.openxmlformats.org/officeDocument/2006/relationships/fontTable" Target="fontTable.xml"/><Relationship Id="rId10" Type="http://schemas.openxmlformats.org/officeDocument/2006/relationships/hyperlink" Target="https://www.rbi.org.in/Scripts/NotificationUser.aspx?Id=12159&amp;Mode=0" TargetMode="External"/><Relationship Id="rId31" Type="http://schemas.openxmlformats.org/officeDocument/2006/relationships/hyperlink" Target="https://www.rbi.org.in/Scripts/NotificationUser.aspx?Id=12344&amp;Mode=0" TargetMode="External"/><Relationship Id="rId52" Type="http://schemas.openxmlformats.org/officeDocument/2006/relationships/hyperlink" Target="https://rbi.org.in/Scripts/BS_PressReleaseDisplay.aspx?prid=53831" TargetMode="External"/><Relationship Id="rId73" Type="http://schemas.openxmlformats.org/officeDocument/2006/relationships/hyperlink" Target="https://www.rbi.org.in/Scripts/NotificationUser.aspx?Id=12158&amp;Mode=0" TargetMode="External"/><Relationship Id="rId78" Type="http://schemas.openxmlformats.org/officeDocument/2006/relationships/hyperlink" Target="https://www.rbi.org.in/Scripts/NotificationUser.aspx?Id=12321&amp;Mode=0" TargetMode="External"/><Relationship Id="rId94" Type="http://schemas.openxmlformats.org/officeDocument/2006/relationships/hyperlink" Target="https://www.rbi.org.in/Scripts/NotificationUser.aspx?Id=12304&amp;Mode=0" TargetMode="External"/><Relationship Id="rId99" Type="http://schemas.openxmlformats.org/officeDocument/2006/relationships/hyperlink" Target="https://www.rbi.org.in/Scripts/NotificationUser.aspx?Id=12303&amp;Mode=0" TargetMode="External"/><Relationship Id="rId101" Type="http://schemas.openxmlformats.org/officeDocument/2006/relationships/hyperlink" Target="https://www.rbi.org.in/Scripts/NotificationUser.aspx?Id=12302&amp;Mode=0" TargetMode="External"/><Relationship Id="rId122" Type="http://schemas.openxmlformats.org/officeDocument/2006/relationships/hyperlink" Target="https://www.rbi.org.in/Scripts/NotificationUser.aspx?Id=11849&amp;Mode=0" TargetMode="External"/><Relationship Id="rId143" Type="http://schemas.openxmlformats.org/officeDocument/2006/relationships/hyperlink" Target="https://www.rbi.org.in/Scripts/NotificationUser.aspx?Id=12289&amp;Mode=0" TargetMode="External"/><Relationship Id="rId148" Type="http://schemas.openxmlformats.org/officeDocument/2006/relationships/hyperlink" Target="https://www.rbi.org.in/Scripts/NotificationUser.aspx?Id=12288&amp;Mode=0" TargetMode="External"/><Relationship Id="rId164" Type="http://schemas.openxmlformats.org/officeDocument/2006/relationships/hyperlink" Target="https://www.rbi.org.in/Scripts/NotificationUser.aspx?Id=12288&amp;Mode=0" TargetMode="External"/><Relationship Id="rId169" Type="http://schemas.openxmlformats.org/officeDocument/2006/relationships/hyperlink" Target="https://www.rbi.org.in/Scripts/BS_PressReleaseDisplay.aspx?prid=53537" TargetMode="External"/><Relationship Id="rId185" Type="http://schemas.openxmlformats.org/officeDocument/2006/relationships/hyperlink" Target="https://www.rbi.org.in/Scripts/NotificationUser.aspx?Id=12282&amp;Mode=0" TargetMode="External"/><Relationship Id="rId334" Type="http://schemas.openxmlformats.org/officeDocument/2006/relationships/hyperlink" Target="https://www.rbi.org.in/Scripts/NotificationUser.aspx?Id=12216&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050&amp;Mode=0" TargetMode="External"/><Relationship Id="rId180" Type="http://schemas.openxmlformats.org/officeDocument/2006/relationships/hyperlink" Target="https://www.rbi.org.in/Scripts/NotificationUser.aspx?Id=12283&amp;Mode=0" TargetMode="External"/><Relationship Id="rId210" Type="http://schemas.openxmlformats.org/officeDocument/2006/relationships/hyperlink" Target="https://www.rbi.org.in/Scripts/NotificationUser.aspx?Id=12277&amp;Mode=0" TargetMode="External"/><Relationship Id="rId215" Type="http://schemas.openxmlformats.org/officeDocument/2006/relationships/hyperlink" Target="https://www.rbi.org.in/Scripts/NotificationUser.aspx?Id=12276&amp;Mode=0" TargetMode="External"/><Relationship Id="rId236" Type="http://schemas.openxmlformats.org/officeDocument/2006/relationships/hyperlink" Target="https://www.rbi.org.in/Scripts/NotificationUser.aspx?Id=12271&amp;Mode=0" TargetMode="External"/><Relationship Id="rId257" Type="http://schemas.openxmlformats.org/officeDocument/2006/relationships/hyperlink" Target="https://www.rbi.org.in/Scripts/NotificationUser.aspx?Id=12130&amp;Mode=0" TargetMode="External"/><Relationship Id="rId278" Type="http://schemas.openxmlformats.org/officeDocument/2006/relationships/hyperlink" Target="https://www.rbi.org.in/Scripts/NotificationUser.aspx?Id=12247&amp;Mode=0" TargetMode="External"/><Relationship Id="rId26" Type="http://schemas.openxmlformats.org/officeDocument/2006/relationships/hyperlink" Target="https://www.rbi.org.in/Scripts/NotificationUser.aspx?Id=12344&amp;Mode=0" TargetMode="External"/><Relationship Id="rId231" Type="http://schemas.openxmlformats.org/officeDocument/2006/relationships/hyperlink" Target="https://www.rbi.org.in/Scripts/NotificationUser.aspx?Id=12272&amp;Mode=0" TargetMode="External"/><Relationship Id="rId252" Type="http://schemas.openxmlformats.org/officeDocument/2006/relationships/hyperlink" Target="https://www.rbi.org.in/Scripts/NotificationUser.aspx?Id=12265&amp;Mode=0" TargetMode="External"/><Relationship Id="rId273" Type="http://schemas.openxmlformats.org/officeDocument/2006/relationships/hyperlink" Target="https://www.rbi.org.in/Scripts/NotificationUser.aspx?Id=12251&amp;Mode=0" TargetMode="External"/><Relationship Id="rId294" Type="http://schemas.openxmlformats.org/officeDocument/2006/relationships/hyperlink" Target="https://rbi.org.in/Scripts/BS_FemaNotifications.aspx?Id=155" TargetMode="External"/><Relationship Id="rId308" Type="http://schemas.openxmlformats.org/officeDocument/2006/relationships/hyperlink" Target="https://www.rbi.org.in/Scripts/NotificationUser.aspx?Id=12102&amp;Mode=0" TargetMode="External"/><Relationship Id="rId329" Type="http://schemas.openxmlformats.org/officeDocument/2006/relationships/hyperlink" Target="https://www.rbi.org.in/Scripts/NotificationUser.aspx?Id=9843&amp;Mode=0" TargetMode="External"/><Relationship Id="rId47" Type="http://schemas.openxmlformats.org/officeDocument/2006/relationships/hyperlink" Target="https://www.rbi.org.in/Scripts/NotificationUser.aspx?Id=12336&amp;Mode=0" TargetMode="External"/><Relationship Id="rId68" Type="http://schemas.openxmlformats.org/officeDocument/2006/relationships/hyperlink" Target="https://www.rbi.org.in/Scripts/NotificationUser.aspx?Id=12324&amp;Mode=0" TargetMode="External"/><Relationship Id="rId89" Type="http://schemas.openxmlformats.org/officeDocument/2006/relationships/hyperlink" Target="https://www.rbi.org.in/scripts/FS_Notification.aspx?Id=12177&amp;fn=2754&amp;Mode=0" TargetMode="External"/><Relationship Id="rId112" Type="http://schemas.openxmlformats.org/officeDocument/2006/relationships/hyperlink" Target="https://www.rbi.org.in/Scripts/NotificationUser.aspx?Id=12298&amp;Mode=0" TargetMode="External"/><Relationship Id="rId133" Type="http://schemas.openxmlformats.org/officeDocument/2006/relationships/hyperlink" Target="https://www.rbi.org.in/Scripts/NotificationUser.aspx?Id=12292&amp;Mode=0" TargetMode="External"/><Relationship Id="rId154" Type="http://schemas.openxmlformats.org/officeDocument/2006/relationships/hyperlink" Target="https://www.rbi.org.in/Scripts/NotificationUser.aspx?Id=12288&amp;Mode=0" TargetMode="External"/><Relationship Id="rId175" Type="http://schemas.openxmlformats.org/officeDocument/2006/relationships/hyperlink" Target="https://www.rbi.org.in/Scripts/NotificationUser.aspx?Id=12285&amp;Mode=0" TargetMode="External"/><Relationship Id="rId340" Type="http://schemas.openxmlformats.org/officeDocument/2006/relationships/theme" Target="theme/theme1.xml"/><Relationship Id="rId196" Type="http://schemas.openxmlformats.org/officeDocument/2006/relationships/hyperlink" Target="https://www.rbi.org.in/Scripts/NotificationUser.aspx?Id=12282&amp;Mode=0" TargetMode="External"/><Relationship Id="rId200" Type="http://schemas.openxmlformats.org/officeDocument/2006/relationships/hyperlink" Target="https://www.rbi.org.in/Scripts/BS_ViewMasCirculardetails.aspx?id=12171" TargetMode="External"/><Relationship Id="rId16" Type="http://schemas.openxmlformats.org/officeDocument/2006/relationships/hyperlink" Target="https://www.rbi.org.in/Scripts/NotificationUser.aspx?Id=12344&amp;Mode=0" TargetMode="External"/><Relationship Id="rId221" Type="http://schemas.openxmlformats.org/officeDocument/2006/relationships/hyperlink" Target="https://www.rbi.org.in/Scripts/BS_ViewMasCirculardetails.aspx?id=12058" TargetMode="External"/><Relationship Id="rId242" Type="http://schemas.openxmlformats.org/officeDocument/2006/relationships/hyperlink" Target="https://www.rbi.org.in/Scripts/NotificationUser.aspx?Id=12268&amp;Mode=0" TargetMode="External"/><Relationship Id="rId263" Type="http://schemas.openxmlformats.org/officeDocument/2006/relationships/hyperlink" Target="https://rbi.org.in/Scripts/BS_ViewMasDirections.aspx?id=12153" TargetMode="External"/><Relationship Id="rId284" Type="http://schemas.openxmlformats.org/officeDocument/2006/relationships/hyperlink" Target="https://rbidocs.rbi.org.in/rdocs/content/pdfs/IndianGazzate02072020.pdf" TargetMode="External"/><Relationship Id="rId319" Type="http://schemas.openxmlformats.org/officeDocument/2006/relationships/hyperlink" Target="https://www.rbi.org.in/Scripts/NotificationUser.aspx?Id=12225&amp;Mode=0" TargetMode="External"/><Relationship Id="rId37" Type="http://schemas.openxmlformats.org/officeDocument/2006/relationships/hyperlink" Target="https://www.rbi.org.in/Scripts/NotificationUser.aspx?Id=12344&amp;Mode=0" TargetMode="External"/><Relationship Id="rId58" Type="http://schemas.openxmlformats.org/officeDocument/2006/relationships/hyperlink" Target="https://www.rbi.org.in/Scripts/NotificationUser.aspx?Id=12179&amp;Mode=0" TargetMode="External"/><Relationship Id="rId79" Type="http://schemas.openxmlformats.org/officeDocument/2006/relationships/hyperlink" Target="https://www.rbi.org.in/Scripts/NotificationUser.aspx?Id=11934&amp;Mode=0" TargetMode="External"/><Relationship Id="rId102" Type="http://schemas.openxmlformats.org/officeDocument/2006/relationships/hyperlink" Target="https://www.rbi.org.in/Scripts/NotificationUser.aspx?Id=11154&amp;Mode=0" TargetMode="External"/><Relationship Id="rId123" Type="http://schemas.openxmlformats.org/officeDocument/2006/relationships/hyperlink" Target="https://www.rbi.org.in/Scripts/NotificationUser.aspx?Id=12295&amp;Mode=0" TargetMode="External"/><Relationship Id="rId144" Type="http://schemas.openxmlformats.org/officeDocument/2006/relationships/hyperlink" Target="https://www.rbi.org.in/Scripts/NotificationUser.aspx?Id=12289&amp;Mode=0" TargetMode="External"/><Relationship Id="rId330" Type="http://schemas.openxmlformats.org/officeDocument/2006/relationships/hyperlink" Target="https://www.rbi.org.in/Scripts/NotificationUser.aspx?Id=12218&amp;Mode=0" TargetMode="External"/><Relationship Id="rId90" Type="http://schemas.openxmlformats.org/officeDocument/2006/relationships/hyperlink" Target="https://rbi.org.in/Scripts/NotificationUser.aspx?Id=12081&amp;Mode=0" TargetMode="External"/><Relationship Id="rId165" Type="http://schemas.openxmlformats.org/officeDocument/2006/relationships/hyperlink" Target="https://www.rbi.org.in/Scripts/NotificationUser.aspx?Id=12288&amp;Mode=0" TargetMode="External"/><Relationship Id="rId186" Type="http://schemas.openxmlformats.org/officeDocument/2006/relationships/hyperlink" Target="https://www.rbi.org.in/Scripts/NotificationUser.aspx?Id=12282&amp;Mode=0" TargetMode="External"/><Relationship Id="rId211" Type="http://schemas.openxmlformats.org/officeDocument/2006/relationships/hyperlink" Target="https://www.rbi.org.in/Scripts/NotificationUser.aspx?Id=12277&amp;Mode=0" TargetMode="External"/><Relationship Id="rId232" Type="http://schemas.openxmlformats.org/officeDocument/2006/relationships/hyperlink" Target="https://www.rbi.org.in/Scripts/NotificationUser.aspx?Id=12272&amp;Mode=0" TargetMode="External"/><Relationship Id="rId253" Type="http://schemas.openxmlformats.org/officeDocument/2006/relationships/hyperlink" Target="https://www.rbi.org.in/Scripts/NotificationUser.aspx?Id=12265&amp;Mode=0" TargetMode="External"/><Relationship Id="rId274" Type="http://schemas.openxmlformats.org/officeDocument/2006/relationships/hyperlink" Target="https://www.rbi.org.in/Scripts/NotificationUser.aspx?Id=4808&amp;Mode=0" TargetMode="External"/><Relationship Id="rId295" Type="http://schemas.openxmlformats.org/officeDocument/2006/relationships/hyperlink" Target="https://www.rbi.org.in/Scripts/NotificationUser.aspx?Id=12099&amp;Mode=0" TargetMode="External"/><Relationship Id="rId309" Type="http://schemas.openxmlformats.org/officeDocument/2006/relationships/hyperlink" Target="https://www.rbi.org.in/Scripts/BS_ViewMasDirections.aspx?id=12226" TargetMode="External"/><Relationship Id="rId27" Type="http://schemas.openxmlformats.org/officeDocument/2006/relationships/hyperlink" Target="https://www.rbi.org.in/Scripts/NotificationUser.aspx?Id=12344&amp;Mode=0" TargetMode="External"/><Relationship Id="rId48" Type="http://schemas.openxmlformats.org/officeDocument/2006/relationships/hyperlink" Target="https://www.rbi.org.in/Scripts/NotificationUser.aspx?Id=12336&amp;Mode=0" TargetMode="External"/><Relationship Id="rId69" Type="http://schemas.openxmlformats.org/officeDocument/2006/relationships/hyperlink" Target="https://www.rbi.org.in/Scripts/NotificationUser.aspx?Id=8390&amp;Mode=0" TargetMode="External"/><Relationship Id="rId113" Type="http://schemas.openxmlformats.org/officeDocument/2006/relationships/hyperlink" Target="https://www.rbi.org.in/Scripts/NotificationUser.aspx?Id=12297&amp;Mode=0" TargetMode="External"/><Relationship Id="rId134" Type="http://schemas.openxmlformats.org/officeDocument/2006/relationships/hyperlink" Target="https://www.rbi.org.in/Scripts/NotificationUser.aspx?Id=11870&amp;Mode=0" TargetMode="External"/><Relationship Id="rId320" Type="http://schemas.openxmlformats.org/officeDocument/2006/relationships/hyperlink" Target="https://www.rbi.org.in/Scripts/NotificationUser.aspx?Id=12223&amp;Mode=0" TargetMode="External"/><Relationship Id="rId80" Type="http://schemas.openxmlformats.org/officeDocument/2006/relationships/hyperlink" Target="https://www.rbi.org.in/Scripts/NotificationUser.aspx?Id=11951&amp;Mode=0" TargetMode="External"/><Relationship Id="rId155" Type="http://schemas.openxmlformats.org/officeDocument/2006/relationships/hyperlink" Target="https://www.rbi.org.in/Scripts/NotificationUser.aspx?Id=12288&amp;Mode=0" TargetMode="External"/><Relationship Id="rId176" Type="http://schemas.openxmlformats.org/officeDocument/2006/relationships/hyperlink" Target="https://www.rbi.org.in/Scripts/NotificationUser.aspx?Id=12285&amp;Mode=0" TargetMode="External"/><Relationship Id="rId197" Type="http://schemas.openxmlformats.org/officeDocument/2006/relationships/hyperlink" Target="https://www.rbi.org.in/Scripts/NotificationUser.aspx?Id=12282&amp;Mode=0" TargetMode="External"/><Relationship Id="rId201" Type="http://schemas.openxmlformats.org/officeDocument/2006/relationships/hyperlink" Target="https://www.rbi.org.in/Scripts/NotificationUser.aspx?Id=12281&amp;Mode=0" TargetMode="External"/><Relationship Id="rId222" Type="http://schemas.openxmlformats.org/officeDocument/2006/relationships/hyperlink" Target="https://www.rbi.org.in/Scripts/NotificationUser.aspx?Id=12274&amp;Mode=0" TargetMode="External"/><Relationship Id="rId243" Type="http://schemas.openxmlformats.org/officeDocument/2006/relationships/hyperlink" Target="https://www.rbi.org.in/Scripts/NotificationUser.aspx?Id=12268&amp;Mode=0" TargetMode="External"/><Relationship Id="rId264" Type="http://schemas.openxmlformats.org/officeDocument/2006/relationships/hyperlink" Target="https://www.rbi.org.in/Scripts/NotificationUser.aspx?Id=12258&amp;Mode=0" TargetMode="External"/><Relationship Id="rId285" Type="http://schemas.openxmlformats.org/officeDocument/2006/relationships/hyperlink" Target="https://rbi.org.in/Scripts/NotificationUser.aspx?Id=11050&amp;Mode=0" TargetMode="External"/><Relationship Id="rId17" Type="http://schemas.openxmlformats.org/officeDocument/2006/relationships/hyperlink" Target="https://www.rbi.org.in/Scripts/NotificationUser.aspx?Id=12344&amp;Mode=0" TargetMode="External"/><Relationship Id="rId38" Type="http://schemas.openxmlformats.org/officeDocument/2006/relationships/hyperlink" Target="https://rbi.org.in/Scripts/BS_ViewMasDirections.aspx?id=12300" TargetMode="External"/><Relationship Id="rId59" Type="http://schemas.openxmlformats.org/officeDocument/2006/relationships/hyperlink" Target="https://www.rbi.org.in/Scripts/NotificationUser.aspx?Id=12329&amp;Mode=0" TargetMode="External"/><Relationship Id="rId103" Type="http://schemas.openxmlformats.org/officeDocument/2006/relationships/hyperlink" Target="https://www.rbi.org.in/Scripts/NotificationUser.aspx?Id=12301&amp;Mode=0" TargetMode="External"/><Relationship Id="rId124" Type="http://schemas.openxmlformats.org/officeDocument/2006/relationships/hyperlink" Target="https://www.rbi.org.in/Scripts/NotificationUser.aspx?Id=12179&amp;Mode=0" TargetMode="External"/><Relationship Id="rId310" Type="http://schemas.openxmlformats.org/officeDocument/2006/relationships/hyperlink" Target="https://www.rbi.org.in/Scripts/NotificationUser.aspx?Id=12227&amp;Mode=0" TargetMode="External"/><Relationship Id="rId70" Type="http://schemas.openxmlformats.org/officeDocument/2006/relationships/hyperlink" Target="https://www.rbi.org.in/Scripts/NotificationUser.aspx?Id=12323&amp;Mode=0" TargetMode="External"/><Relationship Id="rId91" Type="http://schemas.openxmlformats.org/officeDocument/2006/relationships/hyperlink" Target="https://www.rbi.org.in/Scripts/NotificationUser.aspx?Id=12317&amp;Mode=0" TargetMode="External"/><Relationship Id="rId145" Type="http://schemas.openxmlformats.org/officeDocument/2006/relationships/hyperlink" Target="https://rbi.org.in/Scripts/BS_ViewMasCirculardetails.aspx?id=9880" TargetMode="External"/><Relationship Id="rId166" Type="http://schemas.openxmlformats.org/officeDocument/2006/relationships/hyperlink" Target="https://www.rbi.org.in/Scripts/NotificationUser.aspx?Id=12288&amp;Mode=0" TargetMode="External"/><Relationship Id="rId187" Type="http://schemas.openxmlformats.org/officeDocument/2006/relationships/hyperlink" Target="https://www.rbi.org.in/Scripts/NotificationUser.aspx?Id=12282&amp;Mode=0" TargetMode="External"/><Relationship Id="rId331" Type="http://schemas.openxmlformats.org/officeDocument/2006/relationships/hyperlink" Target="https://www.rbi.org.in/Scripts/NotificationUser.aspx?Id=12218&amp;Mode=0" TargetMode="External"/><Relationship Id="rId1" Type="http://schemas.openxmlformats.org/officeDocument/2006/relationships/numbering" Target="numbering.xml"/><Relationship Id="rId212" Type="http://schemas.openxmlformats.org/officeDocument/2006/relationships/hyperlink" Target="https://www.rbi.org.in/" TargetMode="External"/><Relationship Id="rId233" Type="http://schemas.openxmlformats.org/officeDocument/2006/relationships/hyperlink" Target="https://www.rbi.org.in/Scripts/NotificationUser.aspx?Id=12272&amp;Mode=0" TargetMode="External"/><Relationship Id="rId254" Type="http://schemas.openxmlformats.org/officeDocument/2006/relationships/hyperlink" Target="https://www.rbi.org.in/Scripts/BS_ViewMasDirections.aspx?id=12153" TargetMode="External"/><Relationship Id="rId28" Type="http://schemas.openxmlformats.org/officeDocument/2006/relationships/hyperlink" Target="https://www.rbi.org.in/Scripts/NotificationUser.aspx?Id=12344&amp;Mode=0" TargetMode="External"/><Relationship Id="rId49" Type="http://schemas.openxmlformats.org/officeDocument/2006/relationships/hyperlink" Target="https://rbi.org.in/Scripts/NotificationUser.aspx?Id=5213&amp;Mode=0" TargetMode="External"/><Relationship Id="rId114" Type="http://schemas.openxmlformats.org/officeDocument/2006/relationships/hyperlink" Target="https://www.rbi.org.in/Scripts/NotificationUser.aspx?Id=12179&amp;Mode=0" TargetMode="External"/><Relationship Id="rId275" Type="http://schemas.openxmlformats.org/officeDocument/2006/relationships/hyperlink" Target="https://www.rbi.org.in/Scripts/NotificationUser.aspx?Id=12249&amp;Mode=0" TargetMode="External"/><Relationship Id="rId296" Type="http://schemas.openxmlformats.org/officeDocument/2006/relationships/hyperlink" Target="https://www.rbi.org.in/Scripts/NotificationUser.aspx?Id=12229&amp;Mode=0" TargetMode="External"/><Relationship Id="rId300" Type="http://schemas.openxmlformats.org/officeDocument/2006/relationships/hyperlink" Target="https://www.rbi.org.in/Scripts/NotificationUser.aspx?Id=12099&amp;Mode=0" TargetMode="External"/><Relationship Id="rId60" Type="http://schemas.openxmlformats.org/officeDocument/2006/relationships/hyperlink" Target="https://rbi.org.in/Scripts/BS_PressReleaseDisplay.aspx?prid=49343" TargetMode="External"/><Relationship Id="rId81" Type="http://schemas.openxmlformats.org/officeDocument/2006/relationships/hyperlink" Target="https://www.rbi.org.in/Scripts/NotificationUser.aspx?Id=12233&amp;Mode=0" TargetMode="External"/><Relationship Id="rId135" Type="http://schemas.openxmlformats.org/officeDocument/2006/relationships/hyperlink" Target="https://www.rbi.org.in/Scripts/NotificationUser.aspx?Id=12291&amp;Mode=0" TargetMode="External"/><Relationship Id="rId156" Type="http://schemas.openxmlformats.org/officeDocument/2006/relationships/hyperlink" Target="https://www.rbi.org.in/Scripts/NotificationUser.aspx?Id=12288&amp;Mode=0" TargetMode="External"/><Relationship Id="rId177" Type="http://schemas.openxmlformats.org/officeDocument/2006/relationships/hyperlink" Target="https://www.rbi.org.in/Scripts/BS_ViewMasCirculardetails.aspx?id=12185" TargetMode="External"/><Relationship Id="rId198" Type="http://schemas.openxmlformats.org/officeDocument/2006/relationships/hyperlink" Target="https://www.rbi.org.in/Scripts/NotificationUser.aspx?Id=12282&amp;Mode=0" TargetMode="External"/><Relationship Id="rId321" Type="http://schemas.openxmlformats.org/officeDocument/2006/relationships/hyperlink" Target="https://www.rbi.org.in/Scripts/NotificationUser.aspx?Id=12222&amp;Mode=0" TargetMode="External"/><Relationship Id="rId202" Type="http://schemas.openxmlformats.org/officeDocument/2006/relationships/hyperlink" Target="https://www.rbi.org.in/Scripts/NotificationUser.aspx?Id=12281&amp;Mode=0" TargetMode="External"/><Relationship Id="rId223" Type="http://schemas.openxmlformats.org/officeDocument/2006/relationships/hyperlink" Target="https://mastercirculars.rbi.org.in/" TargetMode="External"/><Relationship Id="rId244" Type="http://schemas.openxmlformats.org/officeDocument/2006/relationships/hyperlink" Target="https://www.rbi.org.in/Scripts/NotificationUser.aspx?Id=12267&amp;Mode=0" TargetMode="External"/><Relationship Id="rId18" Type="http://schemas.openxmlformats.org/officeDocument/2006/relationships/hyperlink" Target="https://www.rbi.org.in/Scripts/NotificationUser.aspx?Id=12344&amp;Mode=0" TargetMode="External"/><Relationship Id="rId39" Type="http://schemas.openxmlformats.org/officeDocument/2006/relationships/hyperlink" Target="https://www.rbi.org.in/Scripts/NotificationUser.aspx?Id=12342&amp;Mode=0" TargetMode="External"/><Relationship Id="rId265" Type="http://schemas.openxmlformats.org/officeDocument/2006/relationships/hyperlink" Target="https://rbi.org.in/Scripts/BS_PressReleaseDisplay.aspx?prid=51078" TargetMode="External"/><Relationship Id="rId286" Type="http://schemas.openxmlformats.org/officeDocument/2006/relationships/hyperlink" Target="https://www.rbi.org.in/Scripts/NotificationUser.aspx?Id=12233&amp;Mode=0" TargetMode="External"/><Relationship Id="rId50" Type="http://schemas.openxmlformats.org/officeDocument/2006/relationships/hyperlink" Target="https://rbi.org.in/Scripts/NotificationUser.aspx?Id=4999&amp;Mode=0" TargetMode="External"/><Relationship Id="rId104" Type="http://schemas.openxmlformats.org/officeDocument/2006/relationships/hyperlink" Target="https://www.rbi.org.in/Scripts/NotificationUser.aspx?Id=12301&amp;Mode=0" TargetMode="External"/><Relationship Id="rId125" Type="http://schemas.openxmlformats.org/officeDocument/2006/relationships/hyperlink" Target="https://www.rbi.org.in/Scripts/NotificationUser.aspx?Id=12294&amp;Mode=0" TargetMode="External"/><Relationship Id="rId146" Type="http://schemas.openxmlformats.org/officeDocument/2006/relationships/hyperlink" Target="https://www.rbi.org.in/Scripts/NotificationUser.aspx?Id=12288&amp;Mode=0" TargetMode="External"/><Relationship Id="rId167" Type="http://schemas.openxmlformats.org/officeDocument/2006/relationships/hyperlink" Target="https://www.rbi.org.in/Scripts/NotificationUser.aspx?Id=12288&amp;Mode=0" TargetMode="External"/><Relationship Id="rId188" Type="http://schemas.openxmlformats.org/officeDocument/2006/relationships/hyperlink" Target="https://www.rbi.org.in/Scripts/NotificationUser.aspx?Id=12282&amp;Mode=0" TargetMode="External"/><Relationship Id="rId311" Type="http://schemas.openxmlformats.org/officeDocument/2006/relationships/hyperlink" Target="https://rbi.org.in/Scripts/BS_PressReleaseDisplay.aspx?prid=53248" TargetMode="External"/><Relationship Id="rId332" Type="http://schemas.openxmlformats.org/officeDocument/2006/relationships/hyperlink" Target="https://www.rbi.org.in/Scripts/BS_PressReleaseDisplay.aspx?prid=52548" TargetMode="External"/><Relationship Id="rId71" Type="http://schemas.openxmlformats.org/officeDocument/2006/relationships/hyperlink" Target="https://www.rbi.org.in/Scripts/NotificationUser.aspx?Id=12158&amp;Mode=0" TargetMode="External"/><Relationship Id="rId92" Type="http://schemas.openxmlformats.org/officeDocument/2006/relationships/hyperlink" Target="https://www.rbi.org.in/Scripts/BS_ViewMasDirections.aspx?id=10563" TargetMode="External"/><Relationship Id="rId213" Type="http://schemas.openxmlformats.org/officeDocument/2006/relationships/hyperlink" Target="https://www.rbi.org.in/Scripts/NotificationUser.aspx?Id=12277&amp;Mode=0" TargetMode="External"/><Relationship Id="rId234" Type="http://schemas.openxmlformats.org/officeDocument/2006/relationships/hyperlink" Target="https://www.rbi.org.in/Scripts/BS_ViewMasCirculardetails.aspx?id=12164" TargetMode="External"/><Relationship Id="rId2" Type="http://schemas.openxmlformats.org/officeDocument/2006/relationships/styles" Target="styles.xml"/><Relationship Id="rId29" Type="http://schemas.openxmlformats.org/officeDocument/2006/relationships/hyperlink" Target="https://www.rbi.org.in/Scripts/NotificationUser.aspx?Id=12344&amp;Mode=0" TargetMode="External"/><Relationship Id="rId255" Type="http://schemas.openxmlformats.org/officeDocument/2006/relationships/hyperlink" Target="https://www.rbi.org.in/Scripts/NotificationUser.aspx?Id=12264&amp;Mode=0" TargetMode="External"/><Relationship Id="rId276" Type="http://schemas.openxmlformats.org/officeDocument/2006/relationships/hyperlink" Target="https://www.rbi.org.in/Scripts/NotificationUser.aspx?Id=12179&amp;Mode=0" TargetMode="External"/><Relationship Id="rId297" Type="http://schemas.openxmlformats.org/officeDocument/2006/relationships/hyperlink" Target="https://www.rbi.org.in/Scripts/BS_PressReleaseDisplay.aspx?prid=53248" TargetMode="External"/><Relationship Id="rId40" Type="http://schemas.openxmlformats.org/officeDocument/2006/relationships/hyperlink" Target="https://www.rbi.org.in/Scripts/NotificationUser.aspx?Id=11668&amp;Mode=0" TargetMode="External"/><Relationship Id="rId115" Type="http://schemas.openxmlformats.org/officeDocument/2006/relationships/image" Target="media/image1.jpeg"/><Relationship Id="rId136" Type="http://schemas.openxmlformats.org/officeDocument/2006/relationships/hyperlink" Target="https://www.rbi.org.in/Scripts/NotificationUser.aspx?Id=12179&amp;Mode=0" TargetMode="External"/><Relationship Id="rId157" Type="http://schemas.openxmlformats.org/officeDocument/2006/relationships/hyperlink" Target="https://www.rbi.org.in/Scripts/NotificationUser.aspx?Id=12288&amp;Mode=0" TargetMode="External"/><Relationship Id="rId178" Type="http://schemas.openxmlformats.org/officeDocument/2006/relationships/hyperlink" Target="https://www.rbi.org.in/Scripts/NotificationUser.aspx?Id=12283&amp;Mode=0" TargetMode="External"/><Relationship Id="rId301" Type="http://schemas.openxmlformats.org/officeDocument/2006/relationships/hyperlink" Target="https://www.rbi.org.in/Scripts/BS_FemaNotifications.aspx?Id=179" TargetMode="External"/><Relationship Id="rId322" Type="http://schemas.openxmlformats.org/officeDocument/2006/relationships/hyperlink" Target="https://www.rbi.org.in/Scripts/NotificationUser.aspx?Id=8934&amp;Mode=0" TargetMode="External"/><Relationship Id="rId61" Type="http://schemas.openxmlformats.org/officeDocument/2006/relationships/hyperlink" Target="https://rbi.org.in/Scripts/BS_PressReleaseDisplay.aspx?prid=49342" TargetMode="External"/><Relationship Id="rId82" Type="http://schemas.openxmlformats.org/officeDocument/2006/relationships/hyperlink" Target="https://rbidocs.rbi.org.in/rdocs/content/pdfs/GOIG19052022.pdf" TargetMode="External"/><Relationship Id="rId199" Type="http://schemas.openxmlformats.org/officeDocument/2006/relationships/hyperlink" Target="https://www.rbi.org.in/Scripts/NotificationUser.aspx?Id=12282&amp;Mode=0" TargetMode="External"/><Relationship Id="rId203" Type="http://schemas.openxmlformats.org/officeDocument/2006/relationships/hyperlink" Target="https://www.rbi.org.in/Scripts/NotificationUser.aspx?Id=12281&amp;Mode=0" TargetMode="External"/><Relationship Id="rId19" Type="http://schemas.openxmlformats.org/officeDocument/2006/relationships/hyperlink" Target="https://www.rbi.org.in/Scripts/NotificationUser.aspx?Id=12344&amp;Mode=0" TargetMode="External"/><Relationship Id="rId224" Type="http://schemas.openxmlformats.org/officeDocument/2006/relationships/hyperlink" Target="https://www.rbi.org.in/Scripts/NotificationUser.aspx?Id=12274&amp;Mode=0" TargetMode="External"/><Relationship Id="rId245" Type="http://schemas.openxmlformats.org/officeDocument/2006/relationships/hyperlink" Target="https://www.rbi.org.in/Scripts/NotificationUser.aspx?Id=1145&amp;Mode=0" TargetMode="External"/><Relationship Id="rId266" Type="http://schemas.openxmlformats.org/officeDocument/2006/relationships/hyperlink" Target="https://rbi.org.in/Scripts/BS_PressReleaseDisplay.aspx?prid=51077" TargetMode="External"/><Relationship Id="rId287" Type="http://schemas.openxmlformats.org/officeDocument/2006/relationships/hyperlink" Target="https://www.rbi.org.in/Scripts/NotificationUser.aspx?Id=12194&amp;Mode=0" TargetMode="External"/><Relationship Id="rId30" Type="http://schemas.openxmlformats.org/officeDocument/2006/relationships/hyperlink" Target="https://www.rbi.org.in/Scripts/NotificationUser.aspx?Id=12344&amp;Mode=0" TargetMode="External"/><Relationship Id="rId105" Type="http://schemas.openxmlformats.org/officeDocument/2006/relationships/hyperlink" Target="https://www.rbi.org.in/Scripts/NotificationUser.aspx?Id=12301&amp;Mode=0" TargetMode="External"/><Relationship Id="rId126" Type="http://schemas.openxmlformats.org/officeDocument/2006/relationships/hyperlink" Target="https://www.rbi.org.in/Scripts/NotificationUser.aspx?Id=12294&amp;Mode=0" TargetMode="External"/><Relationship Id="rId147" Type="http://schemas.openxmlformats.org/officeDocument/2006/relationships/hyperlink" Target="https://www.rbi.org.in/Scripts/NotificationUser.aspx?Id=12288&amp;Mode=0" TargetMode="External"/><Relationship Id="rId168" Type="http://schemas.openxmlformats.org/officeDocument/2006/relationships/hyperlink" Target="https://www.rbi.org.in/Scripts/BS_PressReleaseDisplay.aspx?prid=53536" TargetMode="External"/><Relationship Id="rId312" Type="http://schemas.openxmlformats.org/officeDocument/2006/relationships/hyperlink" Target="https://rbi.org.in/Scripts/BS_PressReleaseDisplay.aspx?prid=53247" TargetMode="External"/><Relationship Id="rId333" Type="http://schemas.openxmlformats.org/officeDocument/2006/relationships/hyperlink" Target="https://www.rbi.org.in/Scripts/NotificationUser.aspx?Id=12216&amp;Mode=0" TargetMode="External"/><Relationship Id="rId51" Type="http://schemas.openxmlformats.org/officeDocument/2006/relationships/hyperlink" Target="https://rbi.org.in/Scripts/NotificationUser.aspx?Id=6230&amp;Mode=0" TargetMode="External"/><Relationship Id="rId72" Type="http://schemas.openxmlformats.org/officeDocument/2006/relationships/hyperlink" Target="https://www.rbi.org.in/Scripts/NotificationUser.aspx?Id=12322&amp;Mode=0" TargetMode="External"/><Relationship Id="rId93" Type="http://schemas.openxmlformats.org/officeDocument/2006/relationships/hyperlink" Target="https://www.rbi.org.in/Scripts/BS_ViewMasDirections.aspx?id=10563" TargetMode="External"/><Relationship Id="rId189" Type="http://schemas.openxmlformats.org/officeDocument/2006/relationships/hyperlink" Target="https://www.rbi.org.in/Scripts/NotificationUser.aspx?Id=12282&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89</Pages>
  <Words>23760</Words>
  <Characters>135436</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94</cp:revision>
  <dcterms:created xsi:type="dcterms:W3CDTF">2022-07-08T11:10:00Z</dcterms:created>
  <dcterms:modified xsi:type="dcterms:W3CDTF">2022-08-05T09:23:00Z</dcterms:modified>
</cp:coreProperties>
</file>